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121" w:rsidRDefault="00681121" w:rsidP="00681121">
      <w:pPr>
        <w:pStyle w:val="Heading2"/>
      </w:pPr>
      <w:bookmarkStart w:id="0" w:name="_Toc249803736"/>
      <w:r w:rsidRPr="007D6489">
        <w:t>Step 5: Determine Activities and Interventions</w:t>
      </w:r>
      <w:bookmarkEnd w:id="0"/>
    </w:p>
    <w:p w:rsidR="00681121" w:rsidRDefault="00681121" w:rsidP="00681121">
      <w:pPr>
        <w:spacing w:after="0"/>
        <w:rPr>
          <w:b/>
          <w:color w:val="C00000"/>
        </w:rPr>
      </w:pPr>
    </w:p>
    <w:p w:rsidR="00681121" w:rsidRDefault="00681121" w:rsidP="00681121">
      <w:pPr>
        <w:spacing w:after="0"/>
      </w:pPr>
      <w:r w:rsidRPr="00D21CA1">
        <w:t xml:space="preserve">Suggested approaches and activities and illustrative examples are presented </w:t>
      </w:r>
      <w:r>
        <w:t xml:space="preserve">here </w:t>
      </w:r>
      <w:r w:rsidRPr="00D21CA1">
        <w:t>as appropriate choices for communicating to primary and influencing audiences</w:t>
      </w:r>
      <w:r>
        <w:t xml:space="preserve"> about </w:t>
      </w:r>
      <w:r w:rsidRPr="00606BB2">
        <w:t>contraceptive implants. These</w:t>
      </w:r>
      <w:r w:rsidRPr="00D21CA1">
        <w:t xml:space="preserve"> suggestions are a starting point and close collaboration with communication and creative professionals can help ensure that design and execution are innovative and compelling.</w:t>
      </w:r>
      <w:r>
        <w:t xml:space="preserve"> Note that m</w:t>
      </w:r>
      <w:r w:rsidRPr="00EF43DD">
        <w:t>yths and misconceptions about implants should not be dealt with through mass media – these are best addressed through interpersonal communication in counseling with providers.</w:t>
      </w:r>
    </w:p>
    <w:p w:rsidR="00681121" w:rsidRDefault="00681121" w:rsidP="00681121">
      <w:pPr>
        <w:spacing w:after="0"/>
      </w:pPr>
    </w:p>
    <w:p w:rsidR="00681121" w:rsidRDefault="00681121" w:rsidP="00681121">
      <w:r>
        <w:t xml:space="preserve">Refer to </w:t>
      </w:r>
      <w:r>
        <w:rPr>
          <w:highlight w:val="yellow"/>
        </w:rPr>
        <w:t>page 22</w:t>
      </w:r>
      <w:r>
        <w:t xml:space="preserve"> for supporting guidance on this step as well as “Step 5” on the Demand Generation Implementation Kit [INSERT </w:t>
      </w:r>
      <w:r w:rsidRPr="00BE1612">
        <w:rPr>
          <w:highlight w:val="yellow"/>
        </w:rPr>
        <w:t>HYPERLINK</w:t>
      </w:r>
      <w:r>
        <w:t xml:space="preserve"> to step 5] for further resources.</w:t>
      </w:r>
    </w:p>
    <w:p w:rsidR="00681121" w:rsidRDefault="00681121" w:rsidP="00681121">
      <w:pPr>
        <w:spacing w:after="0"/>
        <w:rPr>
          <w:b/>
          <w:color w:val="C00000"/>
        </w:rPr>
      </w:pPr>
    </w:p>
    <w:p w:rsidR="00681121" w:rsidRPr="00332FE5" w:rsidRDefault="00681121" w:rsidP="00681121">
      <w:pPr>
        <w:rPr>
          <w:b/>
          <w:color w:val="C00000"/>
          <w:sz w:val="24"/>
          <w:szCs w:val="24"/>
        </w:rPr>
      </w:pPr>
      <w:r w:rsidRPr="001C099A">
        <w:rPr>
          <w:b/>
          <w:color w:val="C00000"/>
          <w:sz w:val="24"/>
          <w:szCs w:val="24"/>
        </w:rPr>
        <w:t>Mass Media</w:t>
      </w:r>
    </w:p>
    <w:tbl>
      <w:tblPr>
        <w:tblStyle w:val="TableGrid"/>
        <w:tblW w:w="13068" w:type="dxa"/>
        <w:tblLook w:val="04A0" w:firstRow="1" w:lastRow="0" w:firstColumn="1" w:lastColumn="0" w:noHBand="0" w:noVBand="1"/>
      </w:tblPr>
      <w:tblGrid>
        <w:gridCol w:w="2214"/>
        <w:gridCol w:w="4824"/>
        <w:gridCol w:w="3060"/>
        <w:gridCol w:w="2970"/>
      </w:tblGrid>
      <w:tr w:rsidR="00681121" w:rsidRPr="00370DF9" w:rsidTr="00257124">
        <w:trPr>
          <w:trHeight w:val="576"/>
        </w:trPr>
        <w:tc>
          <w:tcPr>
            <w:tcW w:w="2214" w:type="dxa"/>
            <w:shd w:val="clear" w:color="auto" w:fill="CB3524"/>
            <w:vAlign w:val="bottom"/>
          </w:tcPr>
          <w:p w:rsidR="00681121" w:rsidRPr="00370DF9" w:rsidRDefault="00681121" w:rsidP="00257124">
            <w:pPr>
              <w:rPr>
                <w:b/>
                <w:color w:val="FFFFFF" w:themeColor="background1"/>
              </w:rPr>
            </w:pPr>
            <w:r w:rsidRPr="00370DF9">
              <w:rPr>
                <w:b/>
                <w:color w:val="FFFFFF" w:themeColor="background1"/>
              </w:rPr>
              <w:t>INTERVENTION AREA</w:t>
            </w:r>
          </w:p>
        </w:tc>
        <w:tc>
          <w:tcPr>
            <w:tcW w:w="4824"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ILLUSTRATIVE ACTIVITIES</w:t>
            </w:r>
          </w:p>
        </w:tc>
        <w:tc>
          <w:tcPr>
            <w:tcW w:w="3060"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PURPOSE</w:t>
            </w:r>
          </w:p>
        </w:tc>
        <w:tc>
          <w:tcPr>
            <w:tcW w:w="2970" w:type="dxa"/>
            <w:shd w:val="clear" w:color="auto" w:fill="CB3524"/>
            <w:vAlign w:val="bottom"/>
          </w:tcPr>
          <w:p w:rsidR="00681121" w:rsidRPr="00370DF9" w:rsidRDefault="00681121" w:rsidP="00257124">
            <w:pPr>
              <w:rPr>
                <w:color w:val="FFFFFF" w:themeColor="background1"/>
              </w:rPr>
            </w:pPr>
            <w:r>
              <w:rPr>
                <w:b/>
                <w:color w:val="FFFFFF" w:themeColor="background1"/>
              </w:rPr>
              <w:t xml:space="preserve">INTENDED </w:t>
            </w:r>
            <w:r w:rsidRPr="00370DF9">
              <w:rPr>
                <w:b/>
                <w:color w:val="FFFFFF" w:themeColor="background1"/>
              </w:rPr>
              <w:t>AUDIENCE</w:t>
            </w:r>
          </w:p>
        </w:tc>
      </w:tr>
      <w:tr w:rsidR="00681121" w:rsidRPr="00370DF9" w:rsidTr="00257124">
        <w:tc>
          <w:tcPr>
            <w:tcW w:w="2214" w:type="dxa"/>
          </w:tcPr>
          <w:p w:rsidR="00681121" w:rsidRPr="00370DF9" w:rsidRDefault="00681121" w:rsidP="00257124">
            <w:r w:rsidRPr="00370DF9">
              <w:t>Short-form mass media</w:t>
            </w:r>
          </w:p>
        </w:tc>
        <w:tc>
          <w:tcPr>
            <w:tcW w:w="4824" w:type="dxa"/>
          </w:tcPr>
          <w:p w:rsid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 TV/Radio </w:t>
            </w:r>
            <w:r>
              <w:rPr>
                <w:rFonts w:asciiTheme="minorHAnsi" w:hAnsiTheme="minorHAnsi"/>
                <w:lang w:val="en-US"/>
              </w:rPr>
              <w:t>Public Service Announcement (</w:t>
            </w:r>
            <w:r w:rsidRPr="00370DF9">
              <w:rPr>
                <w:rFonts w:asciiTheme="minorHAnsi" w:hAnsiTheme="minorHAnsi"/>
                <w:lang w:val="en-US"/>
              </w:rPr>
              <w:t>PSA</w:t>
            </w:r>
            <w:r>
              <w:rPr>
                <w:rFonts w:asciiTheme="minorHAnsi" w:hAnsiTheme="minorHAnsi"/>
                <w:lang w:val="en-US"/>
              </w:rPr>
              <w:t>)</w:t>
            </w:r>
            <w:r w:rsidRPr="00370DF9">
              <w:rPr>
                <w:rFonts w:asciiTheme="minorHAnsi" w:hAnsiTheme="minorHAnsi"/>
                <w:lang w:val="en-US"/>
              </w:rPr>
              <w:t xml:space="preserve"> on implants (e.g. of real couples talking about why they choose implants)</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Increase product/brand awareness and knowledge of benefits</w:t>
            </w:r>
          </w:p>
        </w:tc>
        <w:tc>
          <w:tcPr>
            <w:tcW w:w="2970" w:type="dxa"/>
          </w:tcPr>
          <w:p w:rsidR="00681121" w:rsidRPr="00370DF9" w:rsidRDefault="00681121" w:rsidP="00257124">
            <w:r w:rsidRPr="00370DF9">
              <w:t>Women</w:t>
            </w:r>
          </w:p>
          <w:p w:rsidR="00681121" w:rsidRPr="00370DF9" w:rsidRDefault="00681121" w:rsidP="00257124">
            <w:r w:rsidRPr="00370DF9">
              <w:t>Men</w:t>
            </w:r>
          </w:p>
          <w:p w:rsidR="00681121" w:rsidRPr="00370DF9" w:rsidRDefault="00681121" w:rsidP="00257124"/>
        </w:tc>
      </w:tr>
      <w:tr w:rsidR="00681121" w:rsidRPr="00370DF9" w:rsidTr="00257124">
        <w:tc>
          <w:tcPr>
            <w:tcW w:w="2214" w:type="dxa"/>
          </w:tcPr>
          <w:p w:rsidR="00681121" w:rsidRPr="00370DF9" w:rsidRDefault="00681121" w:rsidP="00257124">
            <w:r w:rsidRPr="00370DF9">
              <w:t>Long-form mass media</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Develop multi-episode TV/radio drama serial</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Produce radio call-in shows</w:t>
            </w:r>
          </w:p>
          <w:p w:rsidR="00681121" w:rsidRPr="00370DF9" w:rsidRDefault="00681121" w:rsidP="00257124"/>
        </w:tc>
        <w:tc>
          <w:tcPr>
            <w:tcW w:w="3060" w:type="dxa"/>
          </w:tcPr>
          <w:p w:rsidR="00681121" w:rsidRPr="00370DF9" w:rsidRDefault="00681121" w:rsidP="00257124">
            <w:r w:rsidRPr="00370DF9">
              <w:t>Stimulate social dialogue and couple communication</w:t>
            </w:r>
          </w:p>
          <w:p w:rsidR="00681121" w:rsidRPr="00370DF9" w:rsidRDefault="00681121" w:rsidP="00257124">
            <w:r w:rsidRPr="00370DF9">
              <w:t>Shift social norms</w:t>
            </w:r>
          </w:p>
          <w:p w:rsidR="00681121" w:rsidRPr="00370DF9" w:rsidRDefault="00681121" w:rsidP="00257124"/>
        </w:tc>
        <w:tc>
          <w:tcPr>
            <w:tcW w:w="2970" w:type="dxa"/>
          </w:tcPr>
          <w:p w:rsidR="00681121" w:rsidRPr="00370DF9" w:rsidRDefault="00681121" w:rsidP="00257124">
            <w:r w:rsidRPr="00370DF9">
              <w:t>Women</w:t>
            </w:r>
          </w:p>
          <w:p w:rsidR="00681121" w:rsidRPr="00370DF9" w:rsidRDefault="00681121" w:rsidP="00257124">
            <w:r w:rsidRPr="00370DF9">
              <w:t>Men</w:t>
            </w:r>
          </w:p>
          <w:p w:rsidR="00681121" w:rsidRPr="00370DF9" w:rsidRDefault="00681121" w:rsidP="00257124">
            <w:r w:rsidRPr="00370DF9">
              <w:t>Extended family</w:t>
            </w:r>
          </w:p>
          <w:p w:rsidR="00681121" w:rsidRDefault="00681121" w:rsidP="00257124">
            <w:r w:rsidRPr="00370DF9">
              <w:t>Communities</w:t>
            </w:r>
          </w:p>
          <w:p w:rsidR="00681121" w:rsidRPr="00370DF9" w:rsidRDefault="00681121" w:rsidP="00257124">
            <w:r>
              <w:lastRenderedPageBreak/>
              <w:t xml:space="preserve">Providers (clinical and non-clinical) </w:t>
            </w:r>
          </w:p>
        </w:tc>
      </w:tr>
      <w:tr w:rsidR="00681121" w:rsidRPr="00370DF9" w:rsidTr="00257124">
        <w:tc>
          <w:tcPr>
            <w:tcW w:w="2214" w:type="dxa"/>
          </w:tcPr>
          <w:p w:rsidR="00681121" w:rsidRPr="00370DF9" w:rsidRDefault="00681121" w:rsidP="00257124">
            <w:r w:rsidRPr="00370DF9">
              <w:lastRenderedPageBreak/>
              <w:t>Print media</w:t>
            </w:r>
          </w:p>
        </w:tc>
        <w:tc>
          <w:tcPr>
            <w:tcW w:w="4824" w:type="dxa"/>
          </w:tcPr>
          <w:p w:rsid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Develop/adapt take home brochures and/or posters on implants, including available quality service locations</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Increase product knowledge / knowledge of where to find quality services</w:t>
            </w:r>
          </w:p>
        </w:tc>
        <w:tc>
          <w:tcPr>
            <w:tcW w:w="2970" w:type="dxa"/>
          </w:tcPr>
          <w:p w:rsidR="00681121" w:rsidRPr="00370DF9" w:rsidRDefault="00681121" w:rsidP="00257124">
            <w:r w:rsidRPr="00370DF9">
              <w:t>Women</w:t>
            </w:r>
          </w:p>
          <w:p w:rsidR="00681121" w:rsidRDefault="00681121" w:rsidP="00257124">
            <w:r w:rsidRPr="00370DF9">
              <w:t>Men</w:t>
            </w:r>
          </w:p>
          <w:p w:rsidR="00681121" w:rsidRPr="00370DF9" w:rsidRDefault="00681121" w:rsidP="00257124">
            <w:r>
              <w:t>Non-clinical providers</w:t>
            </w:r>
          </w:p>
        </w:tc>
      </w:tr>
      <w:tr w:rsidR="00681121" w:rsidRPr="00370DF9" w:rsidTr="00257124">
        <w:tc>
          <w:tcPr>
            <w:tcW w:w="2214" w:type="dxa"/>
          </w:tcPr>
          <w:p w:rsidR="00681121" w:rsidRPr="00370DF9" w:rsidRDefault="00681121" w:rsidP="00257124">
            <w:r w:rsidRPr="00370DF9">
              <w:rPr>
                <w:color w:val="000000"/>
              </w:rPr>
              <w:t>Digital media and mHealth</w:t>
            </w:r>
          </w:p>
        </w:tc>
        <w:tc>
          <w:tcPr>
            <w:tcW w:w="4824" w:type="dxa"/>
          </w:tcPr>
          <w:p w:rsidR="00681121" w:rsidRPr="008E428A" w:rsidRDefault="00681121" w:rsidP="00681121">
            <w:pPr>
              <w:pStyle w:val="ListParagraph"/>
              <w:numPr>
                <w:ilvl w:val="0"/>
                <w:numId w:val="1"/>
              </w:numPr>
              <w:spacing w:after="0" w:line="240" w:lineRule="auto"/>
              <w:ind w:left="306" w:hanging="306"/>
              <w:rPr>
                <w:rFonts w:asciiTheme="minorHAnsi" w:hAnsiTheme="minorHAnsi"/>
                <w:lang w:val="en-US"/>
              </w:rPr>
            </w:pPr>
            <w:r w:rsidRPr="00370DF9">
              <w:rPr>
                <w:rFonts w:asciiTheme="minorHAnsi" w:hAnsiTheme="minorHAnsi"/>
                <w:lang w:val="en-US"/>
              </w:rPr>
              <w:t xml:space="preserve">Produce SMS service on </w:t>
            </w:r>
            <w:r>
              <w:rPr>
                <w:rFonts w:asciiTheme="minorHAnsi" w:hAnsiTheme="minorHAnsi"/>
                <w:lang w:val="en-US"/>
              </w:rPr>
              <w:t>family planning</w:t>
            </w:r>
            <w:r w:rsidRPr="00370DF9">
              <w:rPr>
                <w:rFonts w:asciiTheme="minorHAnsi" w:hAnsiTheme="minorHAnsi"/>
                <w:lang w:val="en-US"/>
              </w:rPr>
              <w:t xml:space="preserve"> methods, including implants, with information on quality service points for i</w:t>
            </w:r>
            <w:r>
              <w:rPr>
                <w:rFonts w:asciiTheme="minorHAnsi" w:hAnsiTheme="minorHAnsi"/>
                <w:lang w:val="en-US"/>
              </w:rPr>
              <w:t xml:space="preserve">mplants counseling and services. </w:t>
            </w:r>
            <w:r w:rsidRPr="008E428A">
              <w:rPr>
                <w:rFonts w:asciiTheme="minorHAnsi" w:hAnsiTheme="minorHAnsi"/>
                <w:lang w:val="en-US"/>
              </w:rPr>
              <w:t>The MAMA partnership has developed adaptable messages</w:t>
            </w:r>
            <w:r>
              <w:rPr>
                <w:rFonts w:asciiTheme="minorHAnsi" w:hAnsiTheme="minorHAnsi"/>
                <w:lang w:val="en-US"/>
              </w:rPr>
              <w:t xml:space="preserve"> on implants </w:t>
            </w:r>
            <w:r w:rsidRPr="008E428A">
              <w:rPr>
                <w:rFonts w:asciiTheme="minorHAnsi" w:hAnsiTheme="minorHAnsi"/>
                <w:lang w:val="en-US"/>
              </w:rPr>
              <w:t>that are based on WHO and UNICEF guidelines.</w:t>
            </w:r>
            <w:r>
              <w:rPr>
                <w:rFonts w:asciiTheme="minorHAnsi" w:hAnsiTheme="minorHAnsi"/>
                <w:lang w:val="en-US"/>
              </w:rPr>
              <w:t xml:space="preserve"> </w:t>
            </w:r>
            <w:r w:rsidRPr="008E428A">
              <w:rPr>
                <w:rFonts w:asciiTheme="minorHAnsi" w:hAnsiTheme="minorHAnsi"/>
                <w:lang w:val="en-US"/>
              </w:rPr>
              <w:t xml:space="preserve">MAMA messages located on the website are offered free of charge, and any organization can apply to adapt and use the messages in their own local programs. Messages are available through </w:t>
            </w:r>
            <w:hyperlink r:id="rId5" w:history="1">
              <w:r w:rsidRPr="008E428A">
                <w:rPr>
                  <w:rStyle w:val="Hyperlink"/>
                  <w:rFonts w:asciiTheme="minorHAnsi" w:hAnsiTheme="minorHAnsi"/>
                  <w:lang w:val="en-US"/>
                </w:rPr>
                <w:t>www.mobilemamaalliance.org</w:t>
              </w:r>
            </w:hyperlink>
            <w:r w:rsidRPr="008E428A">
              <w:rPr>
                <w:rFonts w:asciiTheme="minorHAnsi" w:hAnsiTheme="minorHAnsi"/>
                <w:u w:val="single"/>
                <w:lang w:val="en-US"/>
              </w:rPr>
              <w:t>.</w:t>
            </w:r>
          </w:p>
          <w:p w:rsidR="00681121" w:rsidRPr="00370DF9" w:rsidRDefault="00681121" w:rsidP="00681121">
            <w:pPr>
              <w:pStyle w:val="ListParagraph"/>
              <w:numPr>
                <w:ilvl w:val="0"/>
                <w:numId w:val="1"/>
              </w:numPr>
              <w:spacing w:after="0" w:line="240" w:lineRule="auto"/>
              <w:ind w:left="306" w:hanging="306"/>
              <w:rPr>
                <w:rFonts w:asciiTheme="minorHAnsi" w:hAnsiTheme="minorHAnsi"/>
                <w:lang w:val="en-US"/>
              </w:rPr>
            </w:pPr>
            <w:r w:rsidRPr="00370DF9">
              <w:rPr>
                <w:rFonts w:asciiTheme="minorHAnsi" w:hAnsiTheme="minorHAnsi"/>
                <w:lang w:val="en-US"/>
              </w:rPr>
              <w:t xml:space="preserve">Host </w:t>
            </w:r>
            <w:r>
              <w:rPr>
                <w:rFonts w:asciiTheme="minorHAnsi" w:hAnsiTheme="minorHAnsi"/>
                <w:lang w:val="en-US"/>
              </w:rPr>
              <w:t>family planning</w:t>
            </w:r>
            <w:r w:rsidRPr="00370DF9">
              <w:rPr>
                <w:rFonts w:asciiTheme="minorHAnsi" w:hAnsiTheme="minorHAnsi"/>
                <w:lang w:val="en-US"/>
              </w:rPr>
              <w:t xml:space="preserve"> hotline, including implants (phone and/or SMS-based)</w:t>
            </w:r>
          </w:p>
          <w:p w:rsidR="00681121" w:rsidRPr="00F62425" w:rsidRDefault="00681121" w:rsidP="00681121">
            <w:pPr>
              <w:pStyle w:val="ListParagraph"/>
              <w:numPr>
                <w:ilvl w:val="0"/>
                <w:numId w:val="1"/>
              </w:numPr>
              <w:spacing w:after="0" w:line="240" w:lineRule="auto"/>
              <w:ind w:left="306" w:hanging="306"/>
              <w:rPr>
                <w:rFonts w:asciiTheme="minorHAnsi" w:hAnsiTheme="minorHAnsi"/>
                <w:lang w:val="en-US"/>
              </w:rPr>
            </w:pPr>
            <w:r w:rsidRPr="00370DF9">
              <w:rPr>
                <w:rFonts w:asciiTheme="minorHAnsi" w:hAnsiTheme="minorHAnsi"/>
                <w:lang w:val="en-US"/>
              </w:rPr>
              <w:t xml:space="preserve">Launch Facebook and other relevant social media platforms for peer-to-peer communication and support </w:t>
            </w:r>
          </w:p>
        </w:tc>
        <w:tc>
          <w:tcPr>
            <w:tcW w:w="3060" w:type="dxa"/>
          </w:tcPr>
          <w:p w:rsidR="00681121" w:rsidRPr="00370DF9" w:rsidRDefault="00681121" w:rsidP="00257124">
            <w:r w:rsidRPr="00370DF9">
              <w:t>Increase product/brand awareness and knowledge</w:t>
            </w:r>
          </w:p>
          <w:p w:rsidR="00681121" w:rsidRPr="00370DF9" w:rsidRDefault="00681121" w:rsidP="00257124">
            <w:r w:rsidRPr="00370DF9">
              <w:t>Stimulate social dialogue</w:t>
            </w:r>
          </w:p>
        </w:tc>
        <w:tc>
          <w:tcPr>
            <w:tcW w:w="2970" w:type="dxa"/>
          </w:tcPr>
          <w:p w:rsidR="00681121" w:rsidRPr="00370DF9" w:rsidRDefault="00681121" w:rsidP="00257124">
            <w:r w:rsidRPr="00370DF9">
              <w:t>Women</w:t>
            </w:r>
          </w:p>
          <w:p w:rsidR="00681121" w:rsidRDefault="00681121" w:rsidP="00257124">
            <w:r w:rsidRPr="00370DF9">
              <w:t>Men</w:t>
            </w:r>
          </w:p>
          <w:p w:rsidR="00681121" w:rsidRPr="00370DF9" w:rsidRDefault="00681121" w:rsidP="00257124">
            <w:r>
              <w:t>Non-clinical providers</w:t>
            </w:r>
          </w:p>
        </w:tc>
      </w:tr>
    </w:tbl>
    <w:p w:rsidR="00681121" w:rsidRPr="00370DF9" w:rsidRDefault="00681121" w:rsidP="00681121">
      <w:pPr>
        <w:rPr>
          <w:b/>
        </w:rPr>
      </w:pPr>
    </w:p>
    <w:p w:rsidR="00681121" w:rsidRPr="00332FE5" w:rsidRDefault="00681121" w:rsidP="00681121">
      <w:pPr>
        <w:rPr>
          <w:b/>
          <w:color w:val="C00000"/>
          <w:sz w:val="24"/>
          <w:szCs w:val="24"/>
        </w:rPr>
      </w:pPr>
      <w:r w:rsidRPr="001C099A">
        <w:rPr>
          <w:b/>
          <w:color w:val="C00000"/>
          <w:sz w:val="24"/>
          <w:szCs w:val="24"/>
        </w:rPr>
        <w:t>Clinic-Based Services</w:t>
      </w:r>
    </w:p>
    <w:tbl>
      <w:tblPr>
        <w:tblStyle w:val="TableGrid"/>
        <w:tblW w:w="13068" w:type="dxa"/>
        <w:tblLook w:val="04A0" w:firstRow="1" w:lastRow="0" w:firstColumn="1" w:lastColumn="0" w:noHBand="0" w:noVBand="1"/>
      </w:tblPr>
      <w:tblGrid>
        <w:gridCol w:w="2214"/>
        <w:gridCol w:w="4824"/>
        <w:gridCol w:w="3060"/>
        <w:gridCol w:w="2970"/>
      </w:tblGrid>
      <w:tr w:rsidR="00681121" w:rsidRPr="00370DF9" w:rsidTr="00257124">
        <w:trPr>
          <w:trHeight w:val="576"/>
        </w:trPr>
        <w:tc>
          <w:tcPr>
            <w:tcW w:w="2214" w:type="dxa"/>
            <w:shd w:val="clear" w:color="auto" w:fill="CB3524"/>
            <w:vAlign w:val="bottom"/>
          </w:tcPr>
          <w:p w:rsidR="00681121" w:rsidRPr="00370DF9" w:rsidRDefault="00681121" w:rsidP="00257124">
            <w:pPr>
              <w:rPr>
                <w:b/>
                <w:color w:val="FFFFFF" w:themeColor="background1"/>
              </w:rPr>
            </w:pPr>
            <w:r w:rsidRPr="00370DF9">
              <w:rPr>
                <w:b/>
                <w:color w:val="FFFFFF" w:themeColor="background1"/>
              </w:rPr>
              <w:t>INTERVENTION AREA</w:t>
            </w:r>
          </w:p>
        </w:tc>
        <w:tc>
          <w:tcPr>
            <w:tcW w:w="4824"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ILLUSTRATIVE ACTIVITIES</w:t>
            </w:r>
          </w:p>
        </w:tc>
        <w:tc>
          <w:tcPr>
            <w:tcW w:w="3060"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PURPOSE</w:t>
            </w:r>
          </w:p>
        </w:tc>
        <w:tc>
          <w:tcPr>
            <w:tcW w:w="2970" w:type="dxa"/>
            <w:shd w:val="clear" w:color="auto" w:fill="CB3524"/>
            <w:vAlign w:val="bottom"/>
          </w:tcPr>
          <w:p w:rsidR="00681121" w:rsidRPr="00370DF9" w:rsidRDefault="00681121" w:rsidP="00257124">
            <w:pPr>
              <w:rPr>
                <w:color w:val="FFFFFF" w:themeColor="background1"/>
              </w:rPr>
            </w:pPr>
            <w:r>
              <w:rPr>
                <w:b/>
                <w:color w:val="FFFFFF" w:themeColor="background1"/>
              </w:rPr>
              <w:t>INTENDED A</w:t>
            </w:r>
            <w:r w:rsidRPr="00370DF9">
              <w:rPr>
                <w:b/>
                <w:color w:val="FFFFFF" w:themeColor="background1"/>
              </w:rPr>
              <w:t>UDIENCE</w:t>
            </w:r>
          </w:p>
        </w:tc>
      </w:tr>
      <w:tr w:rsidR="00681121" w:rsidRPr="00370DF9" w:rsidTr="00257124">
        <w:tc>
          <w:tcPr>
            <w:tcW w:w="2214" w:type="dxa"/>
          </w:tcPr>
          <w:p w:rsidR="00681121" w:rsidRPr="00370DF9" w:rsidRDefault="00681121" w:rsidP="00257124">
            <w:r w:rsidRPr="00370DF9">
              <w:lastRenderedPageBreak/>
              <w:t>Clinic services</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Establish dedicated service-providers for implants</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Have a “</w:t>
            </w:r>
            <w:r>
              <w:rPr>
                <w:rFonts w:asciiTheme="minorHAnsi" w:hAnsiTheme="minorHAnsi"/>
                <w:lang w:val="en-US"/>
              </w:rPr>
              <w:t>family planning</w:t>
            </w:r>
            <w:r w:rsidRPr="00370DF9">
              <w:rPr>
                <w:rFonts w:asciiTheme="minorHAnsi" w:hAnsiTheme="minorHAnsi"/>
                <w:lang w:val="en-US"/>
              </w:rPr>
              <w:t xml:space="preserve">” counselor (IPC worker) in waiting rooms, to answer questions, provide information, and support women’s </w:t>
            </w:r>
            <w:r>
              <w:rPr>
                <w:rFonts w:asciiTheme="minorHAnsi" w:hAnsiTheme="minorHAnsi"/>
                <w:lang w:val="en-US"/>
              </w:rPr>
              <w:t>family planning</w:t>
            </w:r>
            <w:r w:rsidRPr="00370DF9">
              <w:rPr>
                <w:rFonts w:asciiTheme="minorHAnsi" w:hAnsiTheme="minorHAnsi"/>
                <w:lang w:val="en-US"/>
              </w:rPr>
              <w:t xml:space="preserve"> choices </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Hold clinic waiting room dialogues</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 video for clinic waiting room </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 and disseminate quality guidelines via professional peer networks or associations </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Train providers on face-to-face counseling, including post-partum counseling</w:t>
            </w:r>
            <w:r>
              <w:rPr>
                <w:rFonts w:asciiTheme="minorHAnsi" w:hAnsiTheme="minorHAnsi"/>
                <w:lang w:val="en-US"/>
              </w:rPr>
              <w:t xml:space="preserve"> (implants as an optional method for family planning/promote healthy birth spacing)</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Develop/adapt job aids that focus on key counseling steps and specific messages on implants </w:t>
            </w:r>
          </w:p>
          <w:p w:rsidR="00681121" w:rsidRPr="00370DF9" w:rsidRDefault="00681121" w:rsidP="00681121">
            <w:pPr>
              <w:pStyle w:val="ListParagraph"/>
              <w:numPr>
                <w:ilvl w:val="0"/>
                <w:numId w:val="2"/>
              </w:numPr>
              <w:ind w:left="306" w:hanging="270"/>
              <w:rPr>
                <w:rFonts w:asciiTheme="minorHAnsi" w:hAnsiTheme="minorHAnsi"/>
                <w:lang w:val="en-US"/>
              </w:rPr>
            </w:pPr>
            <w:r w:rsidRPr="00370DF9">
              <w:rPr>
                <w:rFonts w:asciiTheme="minorHAnsi" w:hAnsiTheme="minorHAnsi"/>
                <w:lang w:val="en-US"/>
              </w:rPr>
              <w:t>Increase the use of new technologies as job aides, e.g. ACE (application for contraceptive eligibility) for Android  (</w:t>
            </w:r>
            <w:hyperlink r:id="rId6" w:history="1">
              <w:r w:rsidRPr="00370DF9">
                <w:rPr>
                  <w:rFonts w:asciiTheme="minorHAnsi" w:hAnsiTheme="minorHAnsi"/>
                  <w:lang w:val="en-US"/>
                </w:rPr>
                <w:t>https://www.k4health.org/product/ace-mobile-app</w:t>
              </w:r>
            </w:hyperlink>
            <w:r w:rsidRPr="00370DF9">
              <w:rPr>
                <w:rFonts w:asciiTheme="minorHAnsi" w:hAnsiTheme="minorHAnsi"/>
                <w:lang w:val="en-US"/>
              </w:rPr>
              <w:t xml:space="preserve">) </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Increase product awareness/knowledge</w:t>
            </w:r>
          </w:p>
          <w:p w:rsidR="00681121" w:rsidRPr="00370DF9" w:rsidRDefault="00681121" w:rsidP="00257124"/>
          <w:p w:rsidR="00681121" w:rsidRPr="00370DF9" w:rsidRDefault="00681121" w:rsidP="00257124"/>
          <w:p w:rsidR="00681121" w:rsidRPr="00370DF9" w:rsidRDefault="00681121" w:rsidP="00257124">
            <w:r w:rsidRPr="00370DF9">
              <w:t>Establish quality standards to ensure good service for clients</w:t>
            </w:r>
          </w:p>
          <w:p w:rsidR="00681121" w:rsidRPr="00370DF9" w:rsidRDefault="00681121" w:rsidP="00257124">
            <w:r w:rsidRPr="00370DF9">
              <w:t>Improve provider-client counseling and services on implants</w:t>
            </w:r>
          </w:p>
        </w:tc>
        <w:tc>
          <w:tcPr>
            <w:tcW w:w="2970" w:type="dxa"/>
          </w:tcPr>
          <w:p w:rsidR="00681121" w:rsidRPr="00370DF9" w:rsidRDefault="00681121" w:rsidP="00257124">
            <w:r w:rsidRPr="00370DF9">
              <w:t>Women</w:t>
            </w:r>
          </w:p>
          <w:p w:rsidR="00681121" w:rsidRPr="00370DF9" w:rsidRDefault="00681121" w:rsidP="00257124">
            <w:r w:rsidRPr="00370DF9">
              <w:t>Clinical providers</w:t>
            </w:r>
          </w:p>
        </w:tc>
      </w:tr>
      <w:tr w:rsidR="00681121" w:rsidRPr="00370DF9" w:rsidTr="00257124">
        <w:tc>
          <w:tcPr>
            <w:tcW w:w="2214" w:type="dxa"/>
          </w:tcPr>
          <w:p w:rsidR="00681121" w:rsidRPr="00370DF9" w:rsidRDefault="00681121" w:rsidP="00257124">
            <w:r w:rsidRPr="00370DF9">
              <w:t>Social franchising/ service promotion</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Establish network of social franchise providers with set quality standards and denote those who follow these standards with a symbol of quality.</w:t>
            </w:r>
          </w:p>
          <w:p w:rsid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Promote this symbol through mass media and location-specific apps</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 xml:space="preserve">Establish recognized brand of quality </w:t>
            </w:r>
            <w:r>
              <w:t>family planning</w:t>
            </w:r>
            <w:r w:rsidRPr="00370DF9">
              <w:t xml:space="preserve"> sites that offer implants</w:t>
            </w:r>
          </w:p>
        </w:tc>
        <w:tc>
          <w:tcPr>
            <w:tcW w:w="2970" w:type="dxa"/>
          </w:tcPr>
          <w:p w:rsidR="00681121" w:rsidRPr="00370DF9" w:rsidRDefault="00681121" w:rsidP="00257124">
            <w:r w:rsidRPr="00370DF9">
              <w:t>Clinical providers</w:t>
            </w:r>
          </w:p>
          <w:p w:rsidR="00681121" w:rsidRPr="00370DF9" w:rsidRDefault="00681121" w:rsidP="00257124">
            <w:r w:rsidRPr="00370DF9">
              <w:t>Women</w:t>
            </w:r>
          </w:p>
          <w:p w:rsidR="00681121" w:rsidRPr="00370DF9" w:rsidRDefault="00681121" w:rsidP="00257124">
            <w:r w:rsidRPr="00370DF9">
              <w:t>Men</w:t>
            </w:r>
          </w:p>
        </w:tc>
      </w:tr>
      <w:tr w:rsidR="00681121" w:rsidRPr="00370DF9" w:rsidTr="00257124">
        <w:tc>
          <w:tcPr>
            <w:tcW w:w="2214" w:type="dxa"/>
          </w:tcPr>
          <w:p w:rsidR="00681121" w:rsidRPr="00370DF9" w:rsidRDefault="00681121" w:rsidP="00257124">
            <w:r w:rsidRPr="00370DF9">
              <w:lastRenderedPageBreak/>
              <w:t>Digital/distance learning</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Develop/adapt long-distance curricula to include specific information about counseling on implants</w:t>
            </w:r>
          </w:p>
          <w:p w:rsid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 short video clips and print </w:t>
            </w:r>
            <w:r>
              <w:rPr>
                <w:rFonts w:asciiTheme="minorHAnsi" w:hAnsiTheme="minorHAnsi"/>
                <w:lang w:val="en-US"/>
              </w:rPr>
              <w:t>frequently asked questions</w:t>
            </w:r>
            <w:r w:rsidRPr="00370DF9">
              <w:rPr>
                <w:rFonts w:asciiTheme="minorHAnsi" w:hAnsiTheme="minorHAnsi"/>
                <w:lang w:val="en-US"/>
              </w:rPr>
              <w:t xml:space="preserve"> that model counseling and implant insertion and removal that can be disseminated via print, video, smartphones and tablets</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 xml:space="preserve">Increase knowledge and skills </w:t>
            </w:r>
          </w:p>
        </w:tc>
        <w:tc>
          <w:tcPr>
            <w:tcW w:w="2970" w:type="dxa"/>
          </w:tcPr>
          <w:p w:rsidR="00681121" w:rsidRPr="00370DF9" w:rsidRDefault="00681121" w:rsidP="00257124">
            <w:r w:rsidRPr="00370DF9">
              <w:t>Clinical and non-clinical providers</w:t>
            </w:r>
          </w:p>
        </w:tc>
      </w:tr>
      <w:tr w:rsidR="00681121" w:rsidRPr="00370DF9" w:rsidTr="00257124">
        <w:tc>
          <w:tcPr>
            <w:tcW w:w="2214" w:type="dxa"/>
          </w:tcPr>
          <w:p w:rsidR="00681121" w:rsidRPr="00370DF9" w:rsidRDefault="00681121" w:rsidP="00257124">
            <w:r w:rsidRPr="00370DF9">
              <w:t>Supportive Supervision</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Establish regular supportive supervision visits to trained providers – reinforce skills, correct technique and ensure quality</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Remind providers to promote implants</w:t>
            </w:r>
          </w:p>
          <w:p w:rsid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Available to supervise or assist with removals – as gap between training and removals may be up to 3 years</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t>Increase knowledge and skills</w:t>
            </w:r>
          </w:p>
        </w:tc>
        <w:tc>
          <w:tcPr>
            <w:tcW w:w="2970" w:type="dxa"/>
          </w:tcPr>
          <w:p w:rsidR="00681121" w:rsidRPr="00370DF9" w:rsidRDefault="00681121" w:rsidP="00257124">
            <w:r w:rsidRPr="00370DF9">
              <w:t>Clinical and non-clinical providers</w:t>
            </w:r>
          </w:p>
        </w:tc>
      </w:tr>
    </w:tbl>
    <w:p w:rsidR="00681121" w:rsidRPr="00332FE5" w:rsidRDefault="00681121" w:rsidP="00681121">
      <w:pPr>
        <w:rPr>
          <w:b/>
          <w:sz w:val="24"/>
          <w:szCs w:val="24"/>
        </w:rPr>
      </w:pPr>
    </w:p>
    <w:p w:rsidR="00681121" w:rsidRPr="00332FE5" w:rsidRDefault="00681121" w:rsidP="00681121">
      <w:pPr>
        <w:rPr>
          <w:b/>
          <w:color w:val="C00000"/>
          <w:sz w:val="24"/>
          <w:szCs w:val="24"/>
        </w:rPr>
      </w:pPr>
      <w:r w:rsidRPr="001C099A">
        <w:rPr>
          <w:b/>
          <w:color w:val="C00000"/>
          <w:sz w:val="24"/>
          <w:szCs w:val="24"/>
        </w:rPr>
        <w:t>Community-Based Services,</w:t>
      </w:r>
      <w:r>
        <w:rPr>
          <w:b/>
          <w:color w:val="C00000"/>
          <w:sz w:val="24"/>
          <w:szCs w:val="24"/>
        </w:rPr>
        <w:t xml:space="preserve"> </w:t>
      </w:r>
      <w:r w:rsidRPr="001C099A">
        <w:rPr>
          <w:b/>
          <w:color w:val="C00000"/>
          <w:sz w:val="24"/>
          <w:szCs w:val="24"/>
        </w:rPr>
        <w:t>Outreach and Community Approaches</w:t>
      </w:r>
    </w:p>
    <w:tbl>
      <w:tblPr>
        <w:tblStyle w:val="TableGrid"/>
        <w:tblW w:w="13068" w:type="dxa"/>
        <w:tblLook w:val="04A0" w:firstRow="1" w:lastRow="0" w:firstColumn="1" w:lastColumn="0" w:noHBand="0" w:noVBand="1"/>
      </w:tblPr>
      <w:tblGrid>
        <w:gridCol w:w="2214"/>
        <w:gridCol w:w="4824"/>
        <w:gridCol w:w="3060"/>
        <w:gridCol w:w="2970"/>
      </w:tblGrid>
      <w:tr w:rsidR="00681121" w:rsidRPr="00370DF9" w:rsidTr="00257124">
        <w:trPr>
          <w:trHeight w:val="576"/>
        </w:trPr>
        <w:tc>
          <w:tcPr>
            <w:tcW w:w="2214" w:type="dxa"/>
            <w:shd w:val="clear" w:color="auto" w:fill="CB3524"/>
            <w:vAlign w:val="bottom"/>
          </w:tcPr>
          <w:p w:rsidR="00681121" w:rsidRPr="00370DF9" w:rsidRDefault="00681121" w:rsidP="00257124">
            <w:pPr>
              <w:rPr>
                <w:b/>
                <w:color w:val="FFFFFF" w:themeColor="background1"/>
              </w:rPr>
            </w:pPr>
            <w:r w:rsidRPr="00370DF9">
              <w:rPr>
                <w:b/>
                <w:color w:val="FFFFFF" w:themeColor="background1"/>
              </w:rPr>
              <w:t>INTERVENTION AREA</w:t>
            </w:r>
          </w:p>
        </w:tc>
        <w:tc>
          <w:tcPr>
            <w:tcW w:w="4824"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ILLUSTRATIVE ACTIVITIES</w:t>
            </w:r>
          </w:p>
        </w:tc>
        <w:tc>
          <w:tcPr>
            <w:tcW w:w="3060" w:type="dxa"/>
            <w:shd w:val="clear" w:color="auto" w:fill="CB3524"/>
            <w:vAlign w:val="bottom"/>
          </w:tcPr>
          <w:p w:rsidR="00681121" w:rsidRPr="00370DF9" w:rsidRDefault="00681121" w:rsidP="00257124">
            <w:pPr>
              <w:rPr>
                <w:color w:val="FFFFFF" w:themeColor="background1"/>
              </w:rPr>
            </w:pPr>
            <w:r w:rsidRPr="00370DF9">
              <w:rPr>
                <w:b/>
                <w:color w:val="FFFFFF" w:themeColor="background1"/>
              </w:rPr>
              <w:t>PURPOSE</w:t>
            </w:r>
          </w:p>
        </w:tc>
        <w:tc>
          <w:tcPr>
            <w:tcW w:w="2970" w:type="dxa"/>
            <w:shd w:val="clear" w:color="auto" w:fill="CB3524"/>
            <w:vAlign w:val="bottom"/>
          </w:tcPr>
          <w:p w:rsidR="00681121" w:rsidRPr="00370DF9" w:rsidRDefault="00681121" w:rsidP="00257124">
            <w:pPr>
              <w:rPr>
                <w:color w:val="FFFFFF" w:themeColor="background1"/>
              </w:rPr>
            </w:pPr>
            <w:r>
              <w:rPr>
                <w:b/>
                <w:color w:val="FFFFFF" w:themeColor="background1"/>
              </w:rPr>
              <w:t>INTENDED</w:t>
            </w:r>
            <w:r w:rsidRPr="00370DF9">
              <w:rPr>
                <w:b/>
                <w:color w:val="FFFFFF" w:themeColor="background1"/>
              </w:rPr>
              <w:t xml:space="preserve"> AUDIENCE</w:t>
            </w:r>
          </w:p>
        </w:tc>
      </w:tr>
      <w:tr w:rsidR="00681121" w:rsidRPr="00370DF9" w:rsidTr="00257124">
        <w:tc>
          <w:tcPr>
            <w:tcW w:w="2214" w:type="dxa"/>
          </w:tcPr>
          <w:p w:rsidR="00681121" w:rsidRPr="00370DF9" w:rsidRDefault="00681121" w:rsidP="00257124">
            <w:r w:rsidRPr="00370DF9">
              <w:t>CHW outreach</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Recruit and train male and female CHWs to conduct community-based counseling &amp; referral for implants</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Provide CHWs with sample implants as part of the communications materials, to give women an opportunity to touch and feel the flexible rods </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 and produce radio distance learning program for community workers that model </w:t>
            </w:r>
            <w:r w:rsidRPr="00370DF9">
              <w:rPr>
                <w:rFonts w:asciiTheme="minorHAnsi" w:hAnsiTheme="minorHAnsi"/>
                <w:lang w:val="en-US"/>
              </w:rPr>
              <w:lastRenderedPageBreak/>
              <w:t>positive behaviors and relationships with communities and referral clinics</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Establish CHW radio listening groups and/or peer support groups for distance learning program</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Develop/adapt materials and job aides to provide guidance on counseling and referral for implants </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Develop badges, buttons and other items that support the central positioning and promotion of quality.</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Develop formal referral system between CHW and clinics – non-monetary incentives such as allowing referred clients to be seen quickly positively impacts on the prestige of the CHW in the community.</w:t>
            </w:r>
          </w:p>
          <w:p w:rsidR="00681121" w:rsidRPr="00370DF9" w:rsidRDefault="00681121" w:rsidP="00257124">
            <w:pPr>
              <w:pStyle w:val="ListParagraph"/>
              <w:ind w:left="306"/>
              <w:rPr>
                <w:rFonts w:asciiTheme="minorHAnsi" w:hAnsiTheme="minorHAnsi"/>
                <w:lang w:val="en-US"/>
              </w:rPr>
            </w:pPr>
          </w:p>
        </w:tc>
        <w:tc>
          <w:tcPr>
            <w:tcW w:w="3060" w:type="dxa"/>
          </w:tcPr>
          <w:p w:rsidR="00681121" w:rsidRPr="00370DF9" w:rsidRDefault="00681121" w:rsidP="00257124">
            <w:r w:rsidRPr="00370DF9">
              <w:lastRenderedPageBreak/>
              <w:t>Improve knowledge and skills of CHWs</w:t>
            </w:r>
          </w:p>
          <w:p w:rsidR="00681121" w:rsidRPr="00370DF9" w:rsidRDefault="00681121" w:rsidP="00257124"/>
          <w:p w:rsidR="00681121" w:rsidRPr="00370DF9" w:rsidRDefault="00681121" w:rsidP="00257124">
            <w:r w:rsidRPr="00370DF9">
              <w:t xml:space="preserve">Provide peer-supported learning opportunities </w:t>
            </w:r>
          </w:p>
          <w:p w:rsidR="00681121" w:rsidRPr="00370DF9" w:rsidRDefault="00681121" w:rsidP="00257124"/>
          <w:p w:rsidR="00681121" w:rsidRPr="00370DF9" w:rsidRDefault="00681121" w:rsidP="00257124">
            <w:r w:rsidRPr="00370DF9">
              <w:t xml:space="preserve">Ensure quality counseling and referral </w:t>
            </w:r>
          </w:p>
          <w:p w:rsidR="00681121" w:rsidRPr="00370DF9" w:rsidRDefault="00681121" w:rsidP="00257124"/>
          <w:p w:rsidR="00681121" w:rsidRDefault="00681121" w:rsidP="00257124">
            <w:r w:rsidRPr="00370DF9">
              <w:t>Promote quality services/brand recognition</w:t>
            </w:r>
          </w:p>
          <w:p w:rsidR="00681121" w:rsidRPr="00370DF9" w:rsidRDefault="00681121" w:rsidP="00257124"/>
          <w:p w:rsidR="00681121" w:rsidRPr="00370DF9" w:rsidRDefault="00681121" w:rsidP="00257124">
            <w:r w:rsidRPr="00370DF9">
              <w:t>Encourage social dialogue</w:t>
            </w:r>
          </w:p>
        </w:tc>
        <w:tc>
          <w:tcPr>
            <w:tcW w:w="2970" w:type="dxa"/>
          </w:tcPr>
          <w:p w:rsidR="00681121" w:rsidRPr="00370DF9" w:rsidRDefault="00681121" w:rsidP="00257124">
            <w:r w:rsidRPr="00370DF9">
              <w:lastRenderedPageBreak/>
              <w:t>Non-clinical providers</w:t>
            </w:r>
          </w:p>
          <w:p w:rsidR="00681121" w:rsidRPr="00370DF9" w:rsidRDefault="00681121" w:rsidP="00257124"/>
          <w:p w:rsidR="00681121" w:rsidRPr="00370DF9" w:rsidRDefault="00681121" w:rsidP="00257124"/>
        </w:tc>
      </w:tr>
      <w:tr w:rsidR="00681121" w:rsidRPr="00370DF9" w:rsidTr="00257124">
        <w:tc>
          <w:tcPr>
            <w:tcW w:w="2214" w:type="dxa"/>
          </w:tcPr>
          <w:p w:rsidR="00681121" w:rsidRPr="00370DF9" w:rsidRDefault="00681121" w:rsidP="00257124">
            <w:r w:rsidRPr="00370DF9">
              <w:lastRenderedPageBreak/>
              <w:t xml:space="preserve">Community </w:t>
            </w:r>
            <w:r>
              <w:t>approaches</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Hold community </w:t>
            </w:r>
            <w:r>
              <w:rPr>
                <w:rFonts w:asciiTheme="minorHAnsi" w:hAnsiTheme="minorHAnsi"/>
                <w:lang w:val="en-US"/>
              </w:rPr>
              <w:t xml:space="preserve">theatre and </w:t>
            </w:r>
            <w:r w:rsidRPr="00370DF9">
              <w:rPr>
                <w:rFonts w:asciiTheme="minorHAnsi" w:hAnsiTheme="minorHAnsi"/>
                <w:lang w:val="en-US"/>
              </w:rPr>
              <w:t>dialogues around reproductive health, maternal and child health, and family planning using satisfied users (and their partners) as key advocates</w:t>
            </w:r>
          </w:p>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Show and tell with the flexible rods </w:t>
            </w:r>
          </w:p>
          <w:p w:rsidR="00681121" w:rsidRPr="00F62425"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Organize discussion groups for men, women and/or couples</w:t>
            </w:r>
          </w:p>
          <w:p w:rsidR="00681121" w:rsidRPr="00370DF9" w:rsidRDefault="00681121" w:rsidP="00257124">
            <w:pPr>
              <w:ind w:left="306"/>
              <w:rPr>
                <w:rFonts w:eastAsia="Calibri" w:cs="Times New Roman"/>
              </w:rPr>
            </w:pPr>
          </w:p>
        </w:tc>
        <w:tc>
          <w:tcPr>
            <w:tcW w:w="3060" w:type="dxa"/>
          </w:tcPr>
          <w:p w:rsidR="00681121" w:rsidRPr="00370DF9" w:rsidRDefault="00681121" w:rsidP="00257124">
            <w:r w:rsidRPr="00370DF9">
              <w:t>Encourage social dialogue</w:t>
            </w:r>
          </w:p>
          <w:p w:rsidR="00681121" w:rsidRPr="00370DF9" w:rsidRDefault="00681121" w:rsidP="00257124">
            <w:r w:rsidRPr="00370DF9">
              <w:t xml:space="preserve">Increase social support for </w:t>
            </w:r>
            <w:r>
              <w:t>implants</w:t>
            </w:r>
          </w:p>
          <w:p w:rsidR="00681121" w:rsidRPr="00370DF9" w:rsidRDefault="00681121" w:rsidP="00257124"/>
        </w:tc>
        <w:tc>
          <w:tcPr>
            <w:tcW w:w="2970" w:type="dxa"/>
          </w:tcPr>
          <w:p w:rsidR="00681121" w:rsidRPr="00370DF9" w:rsidRDefault="00681121" w:rsidP="00257124">
            <w:r w:rsidRPr="00370DF9">
              <w:t>Women</w:t>
            </w:r>
          </w:p>
          <w:p w:rsidR="00681121" w:rsidRPr="00370DF9" w:rsidRDefault="00681121" w:rsidP="00257124">
            <w:r w:rsidRPr="00370DF9">
              <w:t>Men</w:t>
            </w:r>
          </w:p>
          <w:p w:rsidR="00681121" w:rsidRPr="00370DF9" w:rsidRDefault="00681121" w:rsidP="00257124">
            <w:r w:rsidRPr="00370DF9">
              <w:t>Extended family</w:t>
            </w:r>
          </w:p>
          <w:p w:rsidR="00681121" w:rsidRPr="00370DF9" w:rsidRDefault="00681121" w:rsidP="00257124">
            <w:r w:rsidRPr="00370DF9">
              <w:t>Communities</w:t>
            </w:r>
          </w:p>
        </w:tc>
      </w:tr>
      <w:tr w:rsidR="00681121" w:rsidRPr="00370DF9" w:rsidTr="00257124">
        <w:tc>
          <w:tcPr>
            <w:tcW w:w="2214" w:type="dxa"/>
          </w:tcPr>
          <w:p w:rsidR="00681121" w:rsidRPr="00370DF9" w:rsidRDefault="00681121" w:rsidP="00257124">
            <w:r w:rsidRPr="00370DF9">
              <w:t>Champions</w:t>
            </w:r>
          </w:p>
        </w:tc>
        <w:tc>
          <w:tcPr>
            <w:tcW w:w="4824" w:type="dxa"/>
          </w:tcPr>
          <w:p w:rsidR="00681121" w:rsidRPr="00370DF9"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Identify satisfied users as community advocates</w:t>
            </w:r>
          </w:p>
          <w:p w:rsidR="00681121" w:rsidRPr="00681121" w:rsidRDefault="00681121" w:rsidP="00681121">
            <w:pPr>
              <w:pStyle w:val="ListParagraph"/>
              <w:numPr>
                <w:ilvl w:val="0"/>
                <w:numId w:val="2"/>
              </w:numPr>
              <w:spacing w:after="0" w:line="240" w:lineRule="auto"/>
              <w:ind w:left="306" w:hanging="270"/>
              <w:rPr>
                <w:rFonts w:asciiTheme="minorHAnsi" w:hAnsiTheme="minorHAnsi"/>
                <w:lang w:val="en-US"/>
              </w:rPr>
            </w:pPr>
            <w:r w:rsidRPr="00370DF9">
              <w:rPr>
                <w:rFonts w:asciiTheme="minorHAnsi" w:hAnsiTheme="minorHAnsi"/>
                <w:lang w:val="en-US"/>
              </w:rPr>
              <w:t xml:space="preserve">Identify </w:t>
            </w:r>
            <w:r>
              <w:rPr>
                <w:rFonts w:asciiTheme="minorHAnsi" w:hAnsiTheme="minorHAnsi"/>
                <w:lang w:val="en-US"/>
              </w:rPr>
              <w:t>“</w:t>
            </w:r>
            <w:r w:rsidRPr="00370DF9">
              <w:rPr>
                <w:rFonts w:asciiTheme="minorHAnsi" w:hAnsiTheme="minorHAnsi"/>
                <w:lang w:val="en-US"/>
              </w:rPr>
              <w:t>everyday heroes</w:t>
            </w:r>
            <w:r>
              <w:rPr>
                <w:rFonts w:asciiTheme="minorHAnsi" w:hAnsiTheme="minorHAnsi"/>
                <w:lang w:val="en-US"/>
              </w:rPr>
              <w:t>”</w:t>
            </w:r>
            <w:r w:rsidRPr="00370DF9">
              <w:rPr>
                <w:rFonts w:asciiTheme="minorHAnsi" w:hAnsiTheme="minorHAnsi"/>
                <w:lang w:val="en-US"/>
              </w:rPr>
              <w:t xml:space="preserve"> - men in the community who support family planning and are helping to ensure the health of their families – and celebrate them at community events and through community and mass media</w:t>
            </w:r>
            <w:bookmarkStart w:id="1" w:name="_GoBack"/>
            <w:bookmarkEnd w:id="1"/>
          </w:p>
        </w:tc>
        <w:tc>
          <w:tcPr>
            <w:tcW w:w="3060" w:type="dxa"/>
          </w:tcPr>
          <w:p w:rsidR="00681121" w:rsidRPr="00370DF9" w:rsidRDefault="00681121" w:rsidP="00257124">
            <w:r w:rsidRPr="00370DF9">
              <w:t>Encourage social dialogue</w:t>
            </w:r>
          </w:p>
          <w:p w:rsidR="00681121" w:rsidRPr="00370DF9" w:rsidRDefault="00681121" w:rsidP="00257124">
            <w:r w:rsidRPr="00370DF9">
              <w:t xml:space="preserve">Increase social support for </w:t>
            </w:r>
            <w:r>
              <w:t>implants</w:t>
            </w:r>
          </w:p>
          <w:p w:rsidR="00681121" w:rsidRPr="00370DF9" w:rsidRDefault="00681121" w:rsidP="00257124"/>
        </w:tc>
        <w:tc>
          <w:tcPr>
            <w:tcW w:w="2970" w:type="dxa"/>
          </w:tcPr>
          <w:p w:rsidR="00681121" w:rsidRPr="00370DF9" w:rsidRDefault="00681121" w:rsidP="00257124">
            <w:r w:rsidRPr="00370DF9">
              <w:t>Women</w:t>
            </w:r>
          </w:p>
          <w:p w:rsidR="00681121" w:rsidRPr="00370DF9" w:rsidRDefault="00681121" w:rsidP="00257124">
            <w:r w:rsidRPr="00370DF9">
              <w:t>Men</w:t>
            </w:r>
          </w:p>
          <w:p w:rsidR="00681121" w:rsidRPr="00370DF9" w:rsidRDefault="00681121" w:rsidP="00257124">
            <w:r w:rsidRPr="00370DF9">
              <w:t>Extended family</w:t>
            </w:r>
          </w:p>
          <w:p w:rsidR="00681121" w:rsidRPr="00370DF9" w:rsidRDefault="00681121" w:rsidP="00257124">
            <w:r w:rsidRPr="00370DF9">
              <w:t>Communities</w:t>
            </w:r>
          </w:p>
        </w:tc>
      </w:tr>
    </w:tbl>
    <w:p w:rsidR="00681121" w:rsidRPr="00332FE5" w:rsidRDefault="00681121" w:rsidP="00681121">
      <w:pPr>
        <w:rPr>
          <w:b/>
          <w:color w:val="C00000"/>
          <w:sz w:val="24"/>
          <w:szCs w:val="24"/>
        </w:rPr>
      </w:pPr>
      <w:r w:rsidRPr="001C099A">
        <w:rPr>
          <w:b/>
          <w:color w:val="C00000"/>
          <w:sz w:val="24"/>
          <w:szCs w:val="24"/>
        </w:rPr>
        <w:lastRenderedPageBreak/>
        <w:t>Structural</w:t>
      </w:r>
    </w:p>
    <w:tbl>
      <w:tblPr>
        <w:tblStyle w:val="TableGrid"/>
        <w:tblW w:w="13068" w:type="dxa"/>
        <w:tblLook w:val="04A0" w:firstRow="1" w:lastRow="0" w:firstColumn="1" w:lastColumn="0" w:noHBand="0" w:noVBand="1"/>
      </w:tblPr>
      <w:tblGrid>
        <w:gridCol w:w="2164"/>
        <w:gridCol w:w="5139"/>
        <w:gridCol w:w="2928"/>
        <w:gridCol w:w="2837"/>
      </w:tblGrid>
      <w:tr w:rsidR="00681121" w:rsidRPr="006F07ED" w:rsidTr="00257124">
        <w:trPr>
          <w:trHeight w:val="576"/>
        </w:trPr>
        <w:tc>
          <w:tcPr>
            <w:tcW w:w="2164" w:type="dxa"/>
            <w:shd w:val="clear" w:color="auto" w:fill="CB3524"/>
            <w:vAlign w:val="bottom"/>
          </w:tcPr>
          <w:p w:rsidR="00681121" w:rsidRPr="006F07ED" w:rsidRDefault="00681121" w:rsidP="00257124">
            <w:pPr>
              <w:rPr>
                <w:b/>
                <w:color w:val="FFFFFF" w:themeColor="background1"/>
              </w:rPr>
            </w:pPr>
            <w:r w:rsidRPr="006F07ED">
              <w:rPr>
                <w:b/>
                <w:color w:val="FFFFFF" w:themeColor="background1"/>
              </w:rPr>
              <w:t>INTERVENTION AREA</w:t>
            </w:r>
          </w:p>
        </w:tc>
        <w:tc>
          <w:tcPr>
            <w:tcW w:w="5139" w:type="dxa"/>
            <w:shd w:val="clear" w:color="auto" w:fill="CB3524"/>
            <w:vAlign w:val="bottom"/>
          </w:tcPr>
          <w:p w:rsidR="00681121" w:rsidRPr="006F07ED" w:rsidRDefault="00681121" w:rsidP="00257124">
            <w:pPr>
              <w:rPr>
                <w:color w:val="FFFFFF" w:themeColor="background1"/>
              </w:rPr>
            </w:pPr>
            <w:r w:rsidRPr="006F07ED">
              <w:rPr>
                <w:b/>
                <w:color w:val="FFFFFF" w:themeColor="background1"/>
              </w:rPr>
              <w:t>ILLUSTRATIVE ACTIVITIES</w:t>
            </w:r>
          </w:p>
        </w:tc>
        <w:tc>
          <w:tcPr>
            <w:tcW w:w="2928" w:type="dxa"/>
            <w:shd w:val="clear" w:color="auto" w:fill="CB3524"/>
            <w:vAlign w:val="bottom"/>
          </w:tcPr>
          <w:p w:rsidR="00681121" w:rsidRPr="006F07ED" w:rsidRDefault="00681121" w:rsidP="00257124">
            <w:pPr>
              <w:rPr>
                <w:color w:val="FFFFFF" w:themeColor="background1"/>
              </w:rPr>
            </w:pPr>
            <w:r w:rsidRPr="006F07ED">
              <w:rPr>
                <w:b/>
                <w:color w:val="FFFFFF" w:themeColor="background1"/>
              </w:rPr>
              <w:t>PURPOSE</w:t>
            </w:r>
          </w:p>
        </w:tc>
        <w:tc>
          <w:tcPr>
            <w:tcW w:w="2837" w:type="dxa"/>
            <w:shd w:val="clear" w:color="auto" w:fill="CB3524"/>
            <w:vAlign w:val="bottom"/>
          </w:tcPr>
          <w:p w:rsidR="00681121" w:rsidRPr="006F07ED" w:rsidRDefault="00681121" w:rsidP="00257124">
            <w:pPr>
              <w:rPr>
                <w:color w:val="FFFFFF" w:themeColor="background1"/>
              </w:rPr>
            </w:pPr>
            <w:r>
              <w:rPr>
                <w:b/>
                <w:color w:val="FFFFFF" w:themeColor="background1"/>
              </w:rPr>
              <w:t>INTENDED</w:t>
            </w:r>
            <w:r w:rsidRPr="006F07ED">
              <w:rPr>
                <w:b/>
                <w:color w:val="FFFFFF" w:themeColor="background1"/>
              </w:rPr>
              <w:t xml:space="preserve"> AUDIENCE</w:t>
            </w:r>
          </w:p>
        </w:tc>
      </w:tr>
      <w:tr w:rsidR="00681121" w:rsidRPr="006F07ED" w:rsidTr="00257124">
        <w:tc>
          <w:tcPr>
            <w:tcW w:w="2164" w:type="dxa"/>
          </w:tcPr>
          <w:p w:rsidR="00681121" w:rsidRPr="006F07ED" w:rsidRDefault="00681121" w:rsidP="00257124">
            <w:pPr>
              <w:spacing w:before="200"/>
              <w:outlineLvl w:val="7"/>
              <w:rPr>
                <w:b/>
              </w:rPr>
            </w:pPr>
            <w:r w:rsidRPr="006F07ED">
              <w:rPr>
                <w:b/>
              </w:rPr>
              <w:t>Policy and guidelines</w:t>
            </w:r>
          </w:p>
        </w:tc>
        <w:tc>
          <w:tcPr>
            <w:tcW w:w="5139" w:type="dxa"/>
          </w:tcPr>
          <w:p w:rsidR="00681121" w:rsidRPr="006F07ED" w:rsidRDefault="00681121" w:rsidP="00681121">
            <w:pPr>
              <w:pStyle w:val="ListParagraph"/>
              <w:numPr>
                <w:ilvl w:val="0"/>
                <w:numId w:val="2"/>
              </w:numPr>
              <w:spacing w:before="200"/>
              <w:ind w:left="306" w:hanging="270"/>
              <w:outlineLvl w:val="7"/>
              <w:rPr>
                <w:rFonts w:asciiTheme="minorHAnsi" w:hAnsiTheme="minorHAnsi"/>
                <w:lang w:val="en-US"/>
              </w:rPr>
            </w:pPr>
            <w:r w:rsidRPr="006F07ED">
              <w:rPr>
                <w:rFonts w:asciiTheme="minorHAnsi" w:hAnsiTheme="minorHAnsi"/>
                <w:lang w:val="en-US"/>
              </w:rPr>
              <w:t xml:space="preserve">Disseminate guidelines for counseling, insertion, and removal of contraceptive implants as another FP option </w:t>
            </w:r>
          </w:p>
          <w:p w:rsidR="00681121" w:rsidRPr="006F07ED" w:rsidRDefault="00681121" w:rsidP="00681121">
            <w:pPr>
              <w:pStyle w:val="ListParagraph"/>
              <w:numPr>
                <w:ilvl w:val="0"/>
                <w:numId w:val="2"/>
              </w:numPr>
              <w:spacing w:before="200"/>
              <w:ind w:left="306" w:hanging="270"/>
              <w:outlineLvl w:val="7"/>
              <w:rPr>
                <w:rFonts w:asciiTheme="minorHAnsi" w:hAnsiTheme="minorHAnsi"/>
                <w:b/>
                <w:lang w:val="en-US"/>
              </w:rPr>
            </w:pPr>
            <w:r w:rsidRPr="006F07ED">
              <w:rPr>
                <w:rFonts w:asciiTheme="minorHAnsi" w:hAnsiTheme="minorHAnsi"/>
                <w:lang w:val="en-US"/>
              </w:rPr>
              <w:t>Twitter feed on international, national, and local progress toward making contraceptive implants</w:t>
            </w:r>
            <w:r>
              <w:rPr>
                <w:rFonts w:asciiTheme="minorHAnsi" w:hAnsiTheme="minorHAnsi"/>
                <w:lang w:val="en-US"/>
              </w:rPr>
              <w:t xml:space="preserve"> </w:t>
            </w:r>
            <w:r w:rsidRPr="006F07ED">
              <w:rPr>
                <w:rFonts w:asciiTheme="minorHAnsi" w:hAnsiTheme="minorHAnsi"/>
                <w:lang w:val="en-US"/>
              </w:rPr>
              <w:t>available at community level, local impact, studies/reports published, implementation tips, and other relevant information</w:t>
            </w:r>
          </w:p>
          <w:p w:rsidR="00681121" w:rsidRPr="006F07ED" w:rsidRDefault="00681121" w:rsidP="00257124">
            <w:r w:rsidRPr="006F07ED">
              <w:rPr>
                <w:i/>
              </w:rPr>
              <w:t>Scaling Up Lifesaving Commodities for Women, Children, and Newborns: An Advocacy Toolkit</w:t>
            </w:r>
            <w:r w:rsidRPr="006F07ED">
              <w:t xml:space="preserve"> provides advocacy resources for utilizing the Commission platform to raise awareness and engage stakeholders in addressing commodity-related gaps in policy. See: </w:t>
            </w:r>
            <w:hyperlink r:id="rId7" w:history="1">
              <w:r w:rsidRPr="006F07ED">
                <w:rPr>
                  <w:rStyle w:val="Hyperlink"/>
                </w:rPr>
                <w:t>http://www.path.org/publications/detail.php?i=2381</w:t>
              </w:r>
            </w:hyperlink>
          </w:p>
        </w:tc>
        <w:tc>
          <w:tcPr>
            <w:tcW w:w="2928" w:type="dxa"/>
          </w:tcPr>
          <w:p w:rsidR="00681121" w:rsidRPr="006F07ED" w:rsidRDefault="00681121" w:rsidP="00257124">
            <w:pPr>
              <w:spacing w:before="200"/>
              <w:outlineLvl w:val="7"/>
            </w:pPr>
            <w:r w:rsidRPr="006F07ED">
              <w:t xml:space="preserve">Ensure consistent availability, promotion, and proper use of contraceptive implants as another affordable option for </w:t>
            </w:r>
            <w:r>
              <w:t>family planning</w:t>
            </w:r>
          </w:p>
          <w:p w:rsidR="00681121" w:rsidRPr="006F07ED" w:rsidRDefault="00681121" w:rsidP="00257124">
            <w:pPr>
              <w:spacing w:before="200"/>
              <w:outlineLvl w:val="7"/>
            </w:pPr>
            <w:r w:rsidRPr="006F07ED">
              <w:t>Enable community-level distribution and use of contraceptive implants</w:t>
            </w:r>
          </w:p>
        </w:tc>
        <w:tc>
          <w:tcPr>
            <w:tcW w:w="2837" w:type="dxa"/>
          </w:tcPr>
          <w:p w:rsidR="00681121" w:rsidRPr="006F07ED" w:rsidRDefault="00681121" w:rsidP="00257124">
            <w:pPr>
              <w:spacing w:before="200"/>
              <w:outlineLvl w:val="7"/>
            </w:pPr>
            <w:r w:rsidRPr="006F07ED">
              <w:t xml:space="preserve">District health officials </w:t>
            </w:r>
          </w:p>
        </w:tc>
      </w:tr>
      <w:tr w:rsidR="00681121" w:rsidRPr="009D1095" w:rsidTr="00257124">
        <w:tc>
          <w:tcPr>
            <w:tcW w:w="2164" w:type="dxa"/>
          </w:tcPr>
          <w:p w:rsidR="00681121" w:rsidRPr="006F07ED" w:rsidRDefault="00681121" w:rsidP="00257124">
            <w:pPr>
              <w:spacing w:before="200"/>
              <w:outlineLvl w:val="7"/>
              <w:rPr>
                <w:b/>
              </w:rPr>
            </w:pPr>
            <w:r w:rsidRPr="006F07ED">
              <w:t>Pre-service training</w:t>
            </w:r>
          </w:p>
        </w:tc>
        <w:tc>
          <w:tcPr>
            <w:tcW w:w="5139" w:type="dxa"/>
          </w:tcPr>
          <w:p w:rsidR="00681121" w:rsidRPr="006F07ED" w:rsidRDefault="00681121" w:rsidP="00681121">
            <w:pPr>
              <w:spacing w:before="200"/>
              <w:outlineLvl w:val="7"/>
            </w:pPr>
            <w:r w:rsidRPr="006F07ED">
              <w:t>If appropriate for district-level managers: Integrate</w:t>
            </w:r>
            <w:r>
              <w:t xml:space="preserve"> </w:t>
            </w:r>
            <w:r w:rsidRPr="006F07ED">
              <w:t>contraceptive implants counseling, insertion and removal into pre-service training for all providers, including pharmacists, doctors, nurses, midwives, CHWs, etc.</w:t>
            </w:r>
          </w:p>
        </w:tc>
        <w:tc>
          <w:tcPr>
            <w:tcW w:w="2928" w:type="dxa"/>
          </w:tcPr>
          <w:p w:rsidR="00681121" w:rsidRPr="006F07ED" w:rsidRDefault="00681121" w:rsidP="00257124">
            <w:pPr>
              <w:spacing w:before="200"/>
              <w:outlineLvl w:val="7"/>
            </w:pPr>
            <w:r w:rsidRPr="006F07ED">
              <w:t>Increase awareness and proper use of contraceptive implants</w:t>
            </w:r>
          </w:p>
        </w:tc>
        <w:tc>
          <w:tcPr>
            <w:tcW w:w="2837" w:type="dxa"/>
          </w:tcPr>
          <w:p w:rsidR="00681121" w:rsidRPr="00941B77" w:rsidRDefault="00681121" w:rsidP="00257124">
            <w:pPr>
              <w:spacing w:before="200"/>
              <w:outlineLvl w:val="7"/>
            </w:pPr>
            <w:r w:rsidRPr="006F07ED">
              <w:t>Pharmacists, doctors, nurses, midwives, CHWs, etc.</w:t>
            </w:r>
          </w:p>
        </w:tc>
      </w:tr>
    </w:tbl>
    <w:p w:rsidR="00AF7700" w:rsidRPr="00681121" w:rsidRDefault="00681121" w:rsidP="00681121">
      <w:pPr>
        <w:rPr>
          <w:rFonts w:eastAsiaTheme="majorEastAsia" w:cstheme="minorHAnsi"/>
          <w:b/>
          <w:bCs/>
          <w:color w:val="C00000"/>
          <w:sz w:val="24"/>
          <w:szCs w:val="24"/>
        </w:rPr>
      </w:pPr>
    </w:p>
    <w:sectPr w:rsidR="00AF7700" w:rsidRPr="00681121" w:rsidSect="00681121">
      <w:headerReference w:type="default" r:id="rId8"/>
      <w:headerReference w:type="first" r:id="rI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2439"/>
      <w:gridCol w:w="521"/>
    </w:tblGrid>
    <w:tr w:rsidR="001479DD" w:rsidTr="00175C66">
      <w:tc>
        <w:tcPr>
          <w:tcW w:w="4799" w:type="pct"/>
          <w:tcBorders>
            <w:bottom w:val="single" w:sz="4" w:space="0" w:color="auto"/>
          </w:tcBorders>
          <w:vAlign w:val="bottom"/>
        </w:tcPr>
        <w:p w:rsidR="001479DD" w:rsidRPr="00175C66" w:rsidRDefault="00681121">
          <w:pPr>
            <w:pStyle w:val="Header"/>
            <w:jc w:val="right"/>
            <w:rPr>
              <w:rFonts w:ascii="Calibri" w:hAnsi="Calibri"/>
              <w:bCs/>
              <w:i/>
              <w:noProof/>
              <w:color w:val="000000" w:themeColor="text1"/>
              <w:sz w:val="24"/>
              <w:szCs w:val="24"/>
            </w:rPr>
          </w:pPr>
          <w:r w:rsidRPr="00D21CA1">
            <w:rPr>
              <w:rFonts w:ascii="Calibri" w:hAnsi="Calibri"/>
              <w:bCs/>
              <w:i/>
              <w:noProof/>
              <w:color w:val="000000" w:themeColor="text1"/>
              <w:sz w:val="24"/>
              <w:szCs w:val="24"/>
            </w:rPr>
            <w:t xml:space="preserve">An Illustrative </w:t>
          </w:r>
          <w:r>
            <w:rPr>
              <w:rFonts w:ascii="Calibri" w:hAnsi="Calibri"/>
              <w:bCs/>
              <w:i/>
              <w:noProof/>
              <w:color w:val="000000" w:themeColor="text1"/>
              <w:sz w:val="24"/>
              <w:szCs w:val="24"/>
            </w:rPr>
            <w:t>Communication Strategy for Contraceptive Implants: S</w:t>
          </w:r>
          <w:r>
            <w:rPr>
              <w:rFonts w:ascii="Calibri" w:hAnsi="Calibri"/>
              <w:bCs/>
              <w:i/>
              <w:noProof/>
              <w:color w:val="000000" w:themeColor="text1"/>
              <w:sz w:val="24"/>
              <w:szCs w:val="24"/>
            </w:rPr>
            <w:t>tep 5 (Determine Activities and Interventions)</w:t>
          </w:r>
        </w:p>
      </w:tc>
      <w:tc>
        <w:tcPr>
          <w:tcW w:w="201" w:type="pct"/>
          <w:tcBorders>
            <w:bottom w:val="single" w:sz="4" w:space="0" w:color="C45911" w:themeColor="accent2" w:themeShade="BF"/>
          </w:tcBorders>
          <w:shd w:val="clear" w:color="auto" w:fill="C45911" w:themeFill="accent2" w:themeFillShade="BF"/>
          <w:vAlign w:val="bottom"/>
        </w:tcPr>
        <w:p w:rsidR="001479DD" w:rsidRDefault="00681121"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2</w:t>
          </w:r>
          <w:r w:rsidRPr="00124693">
            <w:rPr>
              <w:rFonts w:ascii="Calibri" w:hAnsi="Calibri"/>
              <w:b/>
              <w:color w:val="FFFFFF" w:themeColor="background1"/>
              <w:sz w:val="24"/>
              <w:szCs w:val="24"/>
            </w:rPr>
            <w:fldChar w:fldCharType="end"/>
          </w:r>
        </w:p>
      </w:tc>
    </w:tr>
  </w:tbl>
  <w:p w:rsidR="001479DD" w:rsidRDefault="00681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12439"/>
      <w:gridCol w:w="521"/>
    </w:tblGrid>
    <w:tr w:rsidR="001479DD" w:rsidTr="007A3525">
      <w:tc>
        <w:tcPr>
          <w:tcW w:w="4799" w:type="pct"/>
          <w:tcBorders>
            <w:bottom w:val="single" w:sz="4" w:space="0" w:color="auto"/>
          </w:tcBorders>
          <w:vAlign w:val="bottom"/>
        </w:tcPr>
        <w:p w:rsidR="001479DD" w:rsidRPr="007A3525" w:rsidRDefault="00681121" w:rsidP="007A3525">
          <w:pPr>
            <w:pStyle w:val="Header"/>
            <w:jc w:val="right"/>
            <w:rPr>
              <w:rFonts w:ascii="Calibri" w:hAnsi="Calibri"/>
              <w:bCs/>
              <w:i/>
              <w:noProof/>
              <w:color w:val="000000" w:themeColor="text1"/>
              <w:sz w:val="24"/>
              <w:szCs w:val="24"/>
            </w:rPr>
          </w:pPr>
          <w:r w:rsidRPr="001C099A">
            <w:rPr>
              <w:rFonts w:ascii="Calibri" w:hAnsi="Calibri"/>
              <w:bCs/>
              <w:i/>
              <w:noProof/>
              <w:color w:val="000000" w:themeColor="text1"/>
              <w:sz w:val="24"/>
              <w:szCs w:val="24"/>
            </w:rPr>
            <w:t>An Illustrative Example</w:t>
          </w:r>
          <w:r>
            <w:rPr>
              <w:rFonts w:ascii="Calibri" w:hAnsi="Calibri"/>
              <w:bCs/>
              <w:i/>
              <w:noProof/>
              <w:color w:val="000000" w:themeColor="text1"/>
              <w:sz w:val="24"/>
              <w:szCs w:val="24"/>
            </w:rPr>
            <w:t>: Part 1 (Situation Analysis)</w:t>
          </w:r>
        </w:p>
      </w:tc>
      <w:tc>
        <w:tcPr>
          <w:tcW w:w="201" w:type="pct"/>
          <w:tcBorders>
            <w:bottom w:val="single" w:sz="4" w:space="0" w:color="C45911" w:themeColor="accent2" w:themeShade="BF"/>
          </w:tcBorders>
          <w:shd w:val="clear" w:color="auto" w:fill="C45911" w:themeFill="accent2" w:themeFillShade="BF"/>
          <w:vAlign w:val="bottom"/>
        </w:tcPr>
        <w:p w:rsidR="001479DD" w:rsidRDefault="00681121" w:rsidP="007A3525">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Pr>
              <w:rFonts w:ascii="Calibri" w:hAnsi="Calibri"/>
              <w:b/>
              <w:noProof/>
              <w:color w:val="FFFFFF" w:themeColor="background1"/>
              <w:sz w:val="24"/>
              <w:szCs w:val="24"/>
            </w:rPr>
            <w:t>48</w:t>
          </w:r>
          <w:r w:rsidRPr="00124693">
            <w:rPr>
              <w:rFonts w:ascii="Calibri" w:hAnsi="Calibri"/>
              <w:b/>
              <w:color w:val="FFFFFF" w:themeColor="background1"/>
              <w:sz w:val="24"/>
              <w:szCs w:val="24"/>
            </w:rPr>
            <w:fldChar w:fldCharType="end"/>
          </w:r>
        </w:p>
      </w:tc>
    </w:tr>
  </w:tbl>
  <w:p w:rsidR="001479DD" w:rsidRDefault="00681121">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A620D"/>
    <w:multiLevelType w:val="hybridMultilevel"/>
    <w:tmpl w:val="A3C8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D76346"/>
    <w:multiLevelType w:val="hybridMultilevel"/>
    <w:tmpl w:val="8E1E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121"/>
    <w:rsid w:val="000D6438"/>
    <w:rsid w:val="00681121"/>
    <w:rsid w:val="00AA4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3294F2-4B0E-404A-B615-F756449E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121"/>
    <w:pPr>
      <w:spacing w:after="200" w:line="276" w:lineRule="auto"/>
    </w:pPr>
  </w:style>
  <w:style w:type="paragraph" w:styleId="Heading1">
    <w:name w:val="heading 1"/>
    <w:basedOn w:val="Normal"/>
    <w:next w:val="Normal"/>
    <w:link w:val="Heading1Char"/>
    <w:uiPriority w:val="9"/>
    <w:qFormat/>
    <w:rsid w:val="0068112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autoRedefine/>
    <w:uiPriority w:val="9"/>
    <w:unhideWhenUsed/>
    <w:qFormat/>
    <w:rsid w:val="00681121"/>
    <w:pPr>
      <w:spacing w:before="120" w:after="120"/>
      <w:outlineLvl w:val="1"/>
    </w:pPr>
    <w:rPr>
      <w:rFonts w:asciiTheme="minorHAnsi" w:hAnsiTheme="minorHAnsi" w:cstheme="minorHAnsi"/>
      <w:b/>
      <w:bCs/>
      <w:color w:val="C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81121"/>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681121"/>
    <w:pPr>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6811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1121"/>
  </w:style>
  <w:style w:type="character" w:styleId="Hyperlink">
    <w:name w:val="Hyperlink"/>
    <w:basedOn w:val="DefaultParagraphFont"/>
    <w:uiPriority w:val="99"/>
    <w:unhideWhenUsed/>
    <w:rsid w:val="00681121"/>
    <w:rPr>
      <w:color w:val="0563C1" w:themeColor="hyperlink"/>
      <w:u w:val="single"/>
    </w:rPr>
  </w:style>
  <w:style w:type="table" w:styleId="TableGrid">
    <w:name w:val="Table Grid"/>
    <w:basedOn w:val="TableNormal"/>
    <w:uiPriority w:val="59"/>
    <w:rsid w:val="006811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681121"/>
    <w:rPr>
      <w:rFonts w:ascii="Calibri" w:eastAsia="Calibri" w:hAnsi="Calibri" w:cs="Times New Roman"/>
      <w:lang w:val="nb-NO"/>
    </w:rPr>
  </w:style>
  <w:style w:type="character" w:customStyle="1" w:styleId="Heading1Char">
    <w:name w:val="Heading 1 Char"/>
    <w:basedOn w:val="DefaultParagraphFont"/>
    <w:link w:val="Heading1"/>
    <w:uiPriority w:val="9"/>
    <w:rsid w:val="0068112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ath.org/publications/detail.php?i=238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4health.org/product/ace-mobile-app" TargetMode="External"/><Relationship Id="rId11" Type="http://schemas.openxmlformats.org/officeDocument/2006/relationships/theme" Target="theme/theme1.xml"/><Relationship Id="rId5" Type="http://schemas.openxmlformats.org/officeDocument/2006/relationships/hyperlink" Target="http://www.mobilemamaalliance.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20413E1D</Template>
  <TotalTime>1</TotalTime>
  <Pages>6</Pages>
  <Words>1200</Words>
  <Characters>6843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Avila, Megan</cp:lastModifiedBy>
  <cp:revision>1</cp:revision>
  <dcterms:created xsi:type="dcterms:W3CDTF">2014-03-18T19:33:00Z</dcterms:created>
  <dcterms:modified xsi:type="dcterms:W3CDTF">2014-03-18T19:34:00Z</dcterms:modified>
</cp:coreProperties>
</file>