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F8" w:rsidRPr="002B2D03" w:rsidRDefault="00F039F8" w:rsidP="00F039F8">
      <w:pPr>
        <w:pStyle w:val="Heading2"/>
      </w:pPr>
      <w:bookmarkStart w:id="0" w:name="_Toc255042005"/>
      <w:r w:rsidRPr="002B2D03">
        <w:t>Step 5: Determine Activities and Interventions</w:t>
      </w:r>
      <w:bookmarkEnd w:id="0"/>
    </w:p>
    <w:p w:rsidR="00F039F8" w:rsidRPr="002B2D03" w:rsidRDefault="00F039F8" w:rsidP="00F039F8">
      <w:pPr>
        <w:spacing w:after="0"/>
        <w:rPr>
          <w:b/>
          <w:color w:val="C00000"/>
        </w:rPr>
      </w:pPr>
    </w:p>
    <w:p w:rsidR="00F039F8" w:rsidRDefault="00F039F8" w:rsidP="00F039F8">
      <w:pPr>
        <w:spacing w:after="0"/>
      </w:pPr>
      <w:r w:rsidRPr="002B2D03">
        <w:t xml:space="preserve">Suggested approaches and activities and illustrative examples are presented here as appropriate choices for communicating to primary and influencing audiences about magnesium sulfate. These suggestions are a starting point and close collaboration with communication and creative professionals can help ensure that design and execution are innovative and compelling. </w:t>
      </w:r>
    </w:p>
    <w:p w:rsidR="00F039F8" w:rsidRPr="002B2D03" w:rsidRDefault="00F039F8" w:rsidP="00F039F8">
      <w:pPr>
        <w:spacing w:after="0"/>
      </w:pPr>
    </w:p>
    <w:p w:rsidR="00F039F8" w:rsidRPr="002B2D03" w:rsidRDefault="00F039F8" w:rsidP="00F039F8">
      <w:pPr>
        <w:spacing w:after="0"/>
        <w:rPr>
          <w:b/>
          <w:color w:val="C00000"/>
        </w:rPr>
      </w:pPr>
    </w:p>
    <w:p w:rsidR="00F039F8" w:rsidRPr="002B2D03" w:rsidRDefault="00F039F8" w:rsidP="00F039F8">
      <w:pPr>
        <w:rPr>
          <w:b/>
          <w:color w:val="C00000"/>
          <w:sz w:val="24"/>
          <w:szCs w:val="24"/>
        </w:rPr>
      </w:pPr>
      <w:r w:rsidRPr="002B2D03">
        <w:rPr>
          <w:b/>
          <w:color w:val="C00000"/>
          <w:sz w:val="24"/>
          <w:szCs w:val="24"/>
        </w:rPr>
        <w:t>Mass Media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F039F8" w:rsidRPr="002B2D03" w:rsidTr="00B8226C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b/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INTENDED AUDIENCE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Short-form mass media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 xml:space="preserve">Develop Radio </w:t>
            </w:r>
            <w:r>
              <w:rPr>
                <w:rFonts w:asciiTheme="minorHAnsi" w:hAnsiTheme="minorHAnsi"/>
                <w:lang w:val="en-US"/>
              </w:rPr>
              <w:t>or TV spots</w:t>
            </w:r>
            <w:r w:rsidRPr="002B2D03">
              <w:rPr>
                <w:rFonts w:asciiTheme="minorHAnsi" w:hAnsiTheme="minorHAnsi"/>
                <w:lang w:val="en-US"/>
              </w:rPr>
              <w:t xml:space="preserve"> on </w:t>
            </w:r>
            <w:r>
              <w:rPr>
                <w:rFonts w:asciiTheme="minorHAnsi" w:hAnsiTheme="minorHAnsi"/>
                <w:lang w:val="en-US"/>
              </w:rPr>
              <w:t xml:space="preserve">PE/E </w:t>
            </w:r>
            <w:r w:rsidRPr="002B2D03">
              <w:rPr>
                <w:rFonts w:asciiTheme="minorHAnsi" w:hAnsiTheme="minorHAnsi"/>
                <w:lang w:val="en-US"/>
              </w:rPr>
              <w:t xml:space="preserve">(e.g. </w:t>
            </w:r>
            <w:r>
              <w:rPr>
                <w:rFonts w:asciiTheme="minorHAnsi" w:hAnsiTheme="minorHAnsi"/>
                <w:lang w:val="en-US"/>
              </w:rPr>
              <w:t>about recognizing danger signs and seeking ANC)</w:t>
            </w:r>
          </w:p>
          <w:p w:rsidR="00F039F8" w:rsidRPr="002B2D03" w:rsidRDefault="00F039F8" w:rsidP="00B8226C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F039F8" w:rsidRPr="002B2D03" w:rsidRDefault="00F039F8" w:rsidP="00B8226C">
            <w:r>
              <w:t xml:space="preserve">Increase </w:t>
            </w:r>
            <w:r w:rsidRPr="002B2D03">
              <w:t>awareness and knowledge of benefits</w:t>
            </w:r>
            <w:r>
              <w:t xml:space="preserve"> of ANC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Pregnant Women</w:t>
            </w:r>
            <w:r>
              <w:t xml:space="preserve"> and their families</w:t>
            </w:r>
          </w:p>
          <w:p w:rsidR="00F039F8" w:rsidRPr="002B2D03" w:rsidRDefault="00F039F8" w:rsidP="00B8226C">
            <w:r w:rsidRPr="002B2D03">
              <w:t>Secondarily: Health providers (facility- and community-level)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Long-form mass media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 xml:space="preserve">Integrate </w:t>
            </w:r>
            <w:r>
              <w:rPr>
                <w:rFonts w:asciiTheme="minorHAnsi" w:hAnsiTheme="minorHAnsi"/>
                <w:lang w:val="en-US"/>
              </w:rPr>
              <w:t>PE/E</w:t>
            </w:r>
            <w:r w:rsidRPr="002B2D03">
              <w:rPr>
                <w:rFonts w:asciiTheme="minorHAnsi" w:hAnsiTheme="minorHAnsi"/>
                <w:lang w:val="en-US"/>
              </w:rPr>
              <w:t xml:space="preserve"> into multi-episode radio</w:t>
            </w:r>
            <w:r>
              <w:rPr>
                <w:rFonts w:asciiTheme="minorHAnsi" w:hAnsiTheme="minorHAnsi"/>
                <w:lang w:val="en-US"/>
              </w:rPr>
              <w:t xml:space="preserve"> or TV</w:t>
            </w:r>
            <w:r w:rsidRPr="002B2D03">
              <w:rPr>
                <w:rFonts w:asciiTheme="minorHAnsi" w:hAnsiTheme="minorHAnsi"/>
                <w:lang w:val="en-US"/>
              </w:rPr>
              <w:t xml:space="preserve"> drama serial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Produce radio call-in shows that include PE/E as a topic</w:t>
            </w:r>
          </w:p>
          <w:p w:rsidR="00F039F8" w:rsidRPr="002B2D03" w:rsidRDefault="00F039F8" w:rsidP="00B8226C"/>
        </w:tc>
        <w:tc>
          <w:tcPr>
            <w:tcW w:w="3060" w:type="dxa"/>
          </w:tcPr>
          <w:p w:rsidR="00F039F8" w:rsidRPr="002B2D03" w:rsidRDefault="00F039F8" w:rsidP="00B8226C">
            <w:pPr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Stimulat</w:t>
            </w:r>
            <w:r>
              <w:rPr>
                <w:rFonts w:eastAsia="Calibri" w:cs="Times New Roman"/>
              </w:rPr>
              <w:t xml:space="preserve">e social dialogue </w:t>
            </w:r>
          </w:p>
          <w:p w:rsidR="00F039F8" w:rsidRPr="00F039F8" w:rsidRDefault="00F039F8" w:rsidP="00B8226C">
            <w:pPr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Shift social norms around ANC and assisted childbirth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Pregnant Women</w:t>
            </w:r>
            <w:r>
              <w:t xml:space="preserve"> and their families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Print media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eastAsiaTheme="minorHAnsi" w:hAnsiTheme="minorHAnsi" w:cstheme="minorBidi"/>
                <w:lang w:val="en-US"/>
              </w:rPr>
              <w:t xml:space="preserve">Develop/adapt take home brochures/leaflets on </w:t>
            </w:r>
            <w:r>
              <w:rPr>
                <w:rFonts w:asciiTheme="minorHAnsi" w:eastAsiaTheme="minorHAnsi" w:hAnsiTheme="minorHAnsi" w:cstheme="minorBidi"/>
                <w:lang w:val="en-US"/>
              </w:rPr>
              <w:t>PE/E,</w:t>
            </w:r>
            <w:r w:rsidRPr="002B2D03">
              <w:rPr>
                <w:rFonts w:asciiTheme="minorHAnsi" w:eastAsiaTheme="minorHAnsi" w:hAnsiTheme="minorHAnsi" w:cstheme="minorBidi"/>
                <w:lang w:val="en-US"/>
              </w:rPr>
              <w:t xml:space="preserve"> stickers to remind women about warning signs of PE/E, posters</w:t>
            </w:r>
            <w:r w:rsidRPr="002B2D03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Increase knowledge</w:t>
            </w:r>
            <w:r>
              <w:t xml:space="preserve"> of PE/E and</w:t>
            </w:r>
            <w:r w:rsidRPr="002B2D03">
              <w:t xml:space="preserve"> where to find quality services/when to seek help</w:t>
            </w:r>
          </w:p>
          <w:p w:rsidR="00F039F8" w:rsidRPr="002B2D03" w:rsidRDefault="00F039F8" w:rsidP="00B8226C">
            <w:r w:rsidRPr="002B2D03">
              <w:t>Reminders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Pregnant Women</w:t>
            </w:r>
            <w:r>
              <w:t xml:space="preserve"> and their families</w:t>
            </w:r>
          </w:p>
        </w:tc>
      </w:tr>
      <w:tr w:rsidR="00F039F8" w:rsidRPr="002B2D03" w:rsidTr="00B8226C">
        <w:trPr>
          <w:trHeight w:val="530"/>
        </w:trPr>
        <w:tc>
          <w:tcPr>
            <w:tcW w:w="2214" w:type="dxa"/>
          </w:tcPr>
          <w:p w:rsidR="00F039F8" w:rsidRPr="002B2D03" w:rsidRDefault="00F039F8" w:rsidP="00B8226C">
            <w:r w:rsidRPr="002B2D03">
              <w:rPr>
                <w:color w:val="000000"/>
              </w:rPr>
              <w:t xml:space="preserve">Digital media and </w:t>
            </w:r>
            <w:proofErr w:type="spellStart"/>
            <w:r w:rsidRPr="002B2D03">
              <w:rPr>
                <w:color w:val="000000"/>
              </w:rPr>
              <w:t>mHealth</w:t>
            </w:r>
            <w:proofErr w:type="spellEnd"/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Integrate PE/E into existing maternal health</w:t>
            </w:r>
            <w:r w:rsidRPr="002B2D03">
              <w:rPr>
                <w:lang w:val="en-US"/>
              </w:rPr>
              <w:t xml:space="preserve"> SMS service </w:t>
            </w:r>
            <w:r>
              <w:rPr>
                <w:lang w:val="en-US"/>
              </w:rPr>
              <w:t>including</w:t>
            </w:r>
            <w:r w:rsidRPr="002B2D03">
              <w:rPr>
                <w:lang w:val="en-US"/>
              </w:rPr>
              <w:t xml:space="preserve"> reminders of when to seek </w:t>
            </w:r>
            <w:r>
              <w:rPr>
                <w:lang w:val="en-US"/>
              </w:rPr>
              <w:t>care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Myriad Pro" w:hAnsi="Myriad Pro"/>
                <w:sz w:val="20"/>
                <w:szCs w:val="20"/>
                <w:lang w:val="en-US"/>
              </w:rPr>
            </w:pPr>
            <w:r w:rsidRPr="002B2D03">
              <w:rPr>
                <w:lang w:val="en-US"/>
              </w:rPr>
              <w:lastRenderedPageBreak/>
              <w:t>Host MH hotline (phone and/or SMS-based)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lastRenderedPageBreak/>
              <w:t>Increase awareness and knowledge</w:t>
            </w:r>
          </w:p>
          <w:p w:rsidR="00F039F8" w:rsidRPr="002B2D03" w:rsidRDefault="00F039F8" w:rsidP="00B8226C">
            <w:r w:rsidRPr="002B2D03">
              <w:lastRenderedPageBreak/>
              <w:t>Stimulate social dialogue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lastRenderedPageBreak/>
              <w:t>Pregnant Women</w:t>
            </w:r>
            <w:r>
              <w:t xml:space="preserve"> and their families</w:t>
            </w:r>
          </w:p>
          <w:p w:rsidR="00F039F8" w:rsidRPr="002B2D03" w:rsidRDefault="00F039F8" w:rsidP="00B8226C">
            <w:r w:rsidRPr="002B2D03">
              <w:lastRenderedPageBreak/>
              <w:t>Community-based providers</w:t>
            </w:r>
          </w:p>
        </w:tc>
      </w:tr>
    </w:tbl>
    <w:p w:rsidR="00F039F8" w:rsidRPr="002B2D03" w:rsidRDefault="00F039F8" w:rsidP="00F039F8">
      <w:pPr>
        <w:rPr>
          <w:b/>
        </w:rPr>
      </w:pPr>
    </w:p>
    <w:p w:rsidR="00F039F8" w:rsidRPr="002B2D03" w:rsidRDefault="00F039F8" w:rsidP="00F039F8">
      <w:pPr>
        <w:rPr>
          <w:b/>
          <w:color w:val="C00000"/>
          <w:sz w:val="24"/>
          <w:szCs w:val="24"/>
        </w:rPr>
      </w:pPr>
      <w:r w:rsidRPr="002B2D03">
        <w:rPr>
          <w:b/>
          <w:color w:val="C00000"/>
          <w:sz w:val="24"/>
          <w:szCs w:val="24"/>
        </w:rPr>
        <w:t>Clinic-Based Services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F039F8" w:rsidRPr="002B2D03" w:rsidTr="00B8226C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b/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INTENDED AUDIENCE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Clinic services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 xml:space="preserve">Develop and disseminate quality guidelines via professional peer networks or associations 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Train health providers in prevention, screening and management of PE/E (including magnesium sulfate)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Develop algorithm for detection and treatment of PE/E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Develop a job aid showing overall treatment protocol (including hypertension management)</w:t>
            </w:r>
          </w:p>
          <w:p w:rsidR="00F039F8" w:rsidRPr="002B2D03" w:rsidRDefault="00F039F8" w:rsidP="00B8226C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Increase correct knowledge</w:t>
            </w:r>
          </w:p>
          <w:p w:rsidR="00F039F8" w:rsidRPr="002B2D03" w:rsidRDefault="00F039F8" w:rsidP="00B8226C">
            <w:r w:rsidRPr="002B2D03">
              <w:t>Ensure correct use</w:t>
            </w:r>
          </w:p>
          <w:p w:rsidR="00F039F8" w:rsidRPr="002B2D03" w:rsidRDefault="00F039F8" w:rsidP="00B8226C">
            <w:r w:rsidRPr="002B2D03">
              <w:t xml:space="preserve">Facilitate decision-making </w:t>
            </w:r>
          </w:p>
          <w:p w:rsidR="00F039F8" w:rsidRPr="002B2D03" w:rsidRDefault="00F039F8" w:rsidP="00B8226C">
            <w:r w:rsidRPr="002B2D03">
              <w:t>Increase early detection and correct treatment</w:t>
            </w:r>
          </w:p>
          <w:p w:rsidR="00F039F8" w:rsidRPr="002B2D03" w:rsidRDefault="00F039F8" w:rsidP="00B8226C"/>
        </w:tc>
        <w:tc>
          <w:tcPr>
            <w:tcW w:w="2970" w:type="dxa"/>
          </w:tcPr>
          <w:p w:rsidR="00F039F8" w:rsidRPr="002B2D03" w:rsidRDefault="00F039F8" w:rsidP="00B8226C">
            <w:r w:rsidRPr="002B2D03">
              <w:t>Facility-based providers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Digital/distance learning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 xml:space="preserve">Develop and train on electronic job aids such as smart phone and tablet based apps 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Disseminate YouTube videos on how to detect PE/E and administer magnesium sulfate via smart phones or tablets</w:t>
            </w:r>
          </w:p>
          <w:p w:rsidR="00F039F8" w:rsidRPr="002B2D03" w:rsidRDefault="00F039F8" w:rsidP="00B8226C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Increase knowledge and skills</w:t>
            </w:r>
          </w:p>
          <w:p w:rsidR="00F039F8" w:rsidRPr="002B2D03" w:rsidRDefault="00F039F8" w:rsidP="00B8226C">
            <w:r w:rsidRPr="002B2D03">
              <w:t>Facilitate use by various cadres of providers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Facility-based providers</w:t>
            </w:r>
          </w:p>
          <w:p w:rsidR="00F039F8" w:rsidRPr="002B2D03" w:rsidRDefault="00F039F8" w:rsidP="00B8226C">
            <w:r w:rsidRPr="002B2D03">
              <w:t>CHWs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Supportive Supervision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Conduct on-the-job supervision using checklists and give feedback to provider to encourage improved quality of care</w:t>
            </w:r>
          </w:p>
          <w:p w:rsidR="00F039F8" w:rsidRPr="002B2D03" w:rsidRDefault="00F039F8" w:rsidP="00B8226C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Increase skills and motivation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Health officials/managers</w:t>
            </w:r>
          </w:p>
          <w:p w:rsidR="00F039F8" w:rsidRPr="002B2D03" w:rsidRDefault="00F039F8" w:rsidP="00B8226C"/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Reminders/Incentives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 xml:space="preserve">Develop reminders to test for PE/E and administer appropriate treatment and disseminate at regular and frequent </w:t>
            </w:r>
            <w:r w:rsidRPr="002B2D03">
              <w:rPr>
                <w:rFonts w:eastAsia="Calibri" w:cs="Times New Roman"/>
              </w:rPr>
              <w:lastRenderedPageBreak/>
              <w:t>checkpoints (e.g. during supervision checks; refresher training)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lastRenderedPageBreak/>
              <w:t>Increase knowledge</w:t>
            </w:r>
          </w:p>
          <w:p w:rsidR="00F039F8" w:rsidRPr="002B2D03" w:rsidRDefault="00F039F8" w:rsidP="00B8226C">
            <w:r w:rsidRPr="002B2D03">
              <w:lastRenderedPageBreak/>
              <w:t>Increase skills</w:t>
            </w:r>
          </w:p>
          <w:p w:rsidR="00F039F8" w:rsidRPr="002B2D03" w:rsidRDefault="00F039F8" w:rsidP="00B8226C"/>
        </w:tc>
        <w:tc>
          <w:tcPr>
            <w:tcW w:w="2970" w:type="dxa"/>
          </w:tcPr>
          <w:p w:rsidR="00F039F8" w:rsidRPr="002B2D03" w:rsidRDefault="00F039F8" w:rsidP="00B8226C">
            <w:r w:rsidRPr="002B2D03">
              <w:lastRenderedPageBreak/>
              <w:t>Health officials/managers</w:t>
            </w:r>
          </w:p>
          <w:p w:rsidR="00F039F8" w:rsidRPr="002B2D03" w:rsidRDefault="00F039F8" w:rsidP="00B8226C">
            <w:r w:rsidRPr="002B2D03">
              <w:lastRenderedPageBreak/>
              <w:t>Facility-based providers</w:t>
            </w:r>
          </w:p>
          <w:p w:rsidR="00F039F8" w:rsidRPr="002B2D03" w:rsidRDefault="00F039F8" w:rsidP="00B8226C">
            <w:r w:rsidRPr="002B2D03">
              <w:t>CHWs</w:t>
            </w:r>
          </w:p>
        </w:tc>
      </w:tr>
    </w:tbl>
    <w:p w:rsidR="00F039F8" w:rsidRDefault="00F039F8" w:rsidP="00F039F8">
      <w:pPr>
        <w:rPr>
          <w:b/>
          <w:sz w:val="24"/>
          <w:szCs w:val="24"/>
        </w:rPr>
      </w:pPr>
    </w:p>
    <w:p w:rsidR="00F039F8" w:rsidRPr="002B2D03" w:rsidRDefault="00F039F8" w:rsidP="00F039F8">
      <w:pPr>
        <w:rPr>
          <w:b/>
          <w:sz w:val="24"/>
          <w:szCs w:val="24"/>
        </w:rPr>
      </w:pPr>
    </w:p>
    <w:p w:rsidR="00F039F8" w:rsidRPr="002B2D03" w:rsidRDefault="00F039F8" w:rsidP="00F039F8">
      <w:pPr>
        <w:rPr>
          <w:b/>
          <w:color w:val="C00000"/>
          <w:sz w:val="24"/>
          <w:szCs w:val="24"/>
        </w:rPr>
      </w:pPr>
      <w:r w:rsidRPr="002B2D03">
        <w:rPr>
          <w:b/>
          <w:color w:val="C00000"/>
          <w:sz w:val="24"/>
          <w:szCs w:val="24"/>
        </w:rPr>
        <w:t>Community-Based Services, Outreach and Community Approaches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F039F8" w:rsidRPr="002B2D03" w:rsidTr="00B8226C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b/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INTENDED AUDIENCE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CHW outreach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Develop low-literacy flipcharts with PE/E danger signs</w:t>
            </w:r>
          </w:p>
          <w:p w:rsidR="00F039F8" w:rsidRPr="002B2D03" w:rsidRDefault="00F039F8" w:rsidP="00F039F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Develop badges or other items with key messages on PE/E and ANC visits</w:t>
            </w:r>
          </w:p>
          <w:p w:rsidR="00F039F8" w:rsidRPr="002B2D03" w:rsidRDefault="00F039F8" w:rsidP="00F039F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Develop influencing / negotiating skills to ensure proper care is given</w:t>
            </w:r>
          </w:p>
          <w:p w:rsidR="00F039F8" w:rsidRPr="00F039F8" w:rsidRDefault="00F039F8" w:rsidP="00F039F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>Develop systematic and supportive referral systems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Early detection of PE/E</w:t>
            </w:r>
          </w:p>
          <w:p w:rsidR="00F039F8" w:rsidRPr="002B2D03" w:rsidRDefault="00F039F8" w:rsidP="00B8226C"/>
          <w:p w:rsidR="00F039F8" w:rsidRPr="002B2D03" w:rsidRDefault="00F039F8" w:rsidP="00B8226C">
            <w:r w:rsidRPr="002B2D03">
              <w:t>Ensure timely care for PE/E women</w:t>
            </w:r>
          </w:p>
          <w:p w:rsidR="00F039F8" w:rsidRPr="002B2D03" w:rsidRDefault="00F039F8" w:rsidP="00B8226C"/>
        </w:tc>
        <w:tc>
          <w:tcPr>
            <w:tcW w:w="2970" w:type="dxa"/>
          </w:tcPr>
          <w:p w:rsidR="00F039F8" w:rsidRPr="002B2D03" w:rsidRDefault="00F039F8" w:rsidP="00B8226C">
            <w:r w:rsidRPr="002B2D03">
              <w:t xml:space="preserve">CHWs </w:t>
            </w:r>
          </w:p>
          <w:p w:rsidR="00F039F8" w:rsidRPr="002B2D03" w:rsidRDefault="00F039F8" w:rsidP="00B8226C">
            <w:r w:rsidRPr="002B2D03">
              <w:t xml:space="preserve">Pregnant women and their families </w:t>
            </w:r>
          </w:p>
          <w:p w:rsidR="00F039F8" w:rsidRPr="002B2D03" w:rsidRDefault="00F039F8" w:rsidP="00B8226C"/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Community approaches</w:t>
            </w:r>
          </w:p>
        </w:tc>
        <w:tc>
          <w:tcPr>
            <w:tcW w:w="4824" w:type="dxa"/>
          </w:tcPr>
          <w:p w:rsidR="00F039F8" w:rsidRPr="002B2D03" w:rsidRDefault="00F039F8" w:rsidP="00F039F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</w:rPr>
            </w:pPr>
            <w:r w:rsidRPr="002B2D03">
              <w:rPr>
                <w:rFonts w:eastAsia="Calibri" w:cs="Times New Roman"/>
              </w:rPr>
              <w:t xml:space="preserve">Develop community dialogue around regular ANC visits and appropriate care of pregnant women – including danger signs 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 xml:space="preserve">Increase knowledge of PE/E </w:t>
            </w:r>
          </w:p>
          <w:p w:rsidR="00F039F8" w:rsidRPr="002B2D03" w:rsidRDefault="00F039F8" w:rsidP="00B8226C">
            <w:r w:rsidRPr="002B2D03">
              <w:t xml:space="preserve">Encourage prompt care-seeking </w:t>
            </w:r>
          </w:p>
        </w:tc>
        <w:tc>
          <w:tcPr>
            <w:tcW w:w="2970" w:type="dxa"/>
          </w:tcPr>
          <w:p w:rsidR="00F039F8" w:rsidRPr="002B2D03" w:rsidRDefault="00F039F8" w:rsidP="00B8226C">
            <w:r w:rsidRPr="002B2D03">
              <w:t>CHWs</w:t>
            </w:r>
          </w:p>
          <w:p w:rsidR="00F039F8" w:rsidRPr="002B2D03" w:rsidRDefault="00F039F8" w:rsidP="00B8226C">
            <w:r w:rsidRPr="002B2D03">
              <w:t>Pregnant women and their families</w:t>
            </w:r>
          </w:p>
        </w:tc>
      </w:tr>
      <w:tr w:rsidR="00F039F8" w:rsidRPr="002B2D03" w:rsidTr="00B8226C">
        <w:tc>
          <w:tcPr>
            <w:tcW w:w="2214" w:type="dxa"/>
          </w:tcPr>
          <w:p w:rsidR="00F039F8" w:rsidRPr="002B2D03" w:rsidRDefault="00F039F8" w:rsidP="00B8226C">
            <w:r w:rsidRPr="002B2D03">
              <w:t>Champions</w:t>
            </w:r>
          </w:p>
        </w:tc>
        <w:tc>
          <w:tcPr>
            <w:tcW w:w="4824" w:type="dxa"/>
          </w:tcPr>
          <w:p w:rsidR="00F039F8" w:rsidRPr="00F039F8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Identify “everyday heroes” - men in the community who support ANC and knowing about PE/E for their partners and are helping to ensure the health of their families – and celebrate them at community events and through community and mass media</w:t>
            </w:r>
          </w:p>
        </w:tc>
        <w:tc>
          <w:tcPr>
            <w:tcW w:w="3060" w:type="dxa"/>
          </w:tcPr>
          <w:p w:rsidR="00F039F8" w:rsidRPr="002B2D03" w:rsidRDefault="00F039F8" w:rsidP="00B8226C">
            <w:r w:rsidRPr="002B2D03">
              <w:t>Encourage social dialogue</w:t>
            </w:r>
          </w:p>
          <w:p w:rsidR="00F039F8" w:rsidRPr="002B2D03" w:rsidRDefault="00F039F8" w:rsidP="00B8226C">
            <w:r w:rsidRPr="002B2D03">
              <w:t xml:space="preserve">Increase social support for ANC </w:t>
            </w:r>
          </w:p>
          <w:p w:rsidR="00F039F8" w:rsidRPr="002B2D03" w:rsidRDefault="00F039F8" w:rsidP="00B8226C"/>
        </w:tc>
        <w:tc>
          <w:tcPr>
            <w:tcW w:w="2970" w:type="dxa"/>
          </w:tcPr>
          <w:p w:rsidR="00F039F8" w:rsidRPr="002B2D03" w:rsidRDefault="00F039F8" w:rsidP="00B8226C">
            <w:r w:rsidRPr="002B2D03">
              <w:t>Pregnant women and their families</w:t>
            </w:r>
          </w:p>
        </w:tc>
      </w:tr>
    </w:tbl>
    <w:p w:rsidR="00F039F8" w:rsidRPr="002B2D03" w:rsidRDefault="00F039F8" w:rsidP="00F039F8">
      <w:pPr>
        <w:rPr>
          <w:b/>
        </w:rPr>
      </w:pPr>
    </w:p>
    <w:p w:rsidR="00F039F8" w:rsidRPr="002B2D03" w:rsidRDefault="00F039F8" w:rsidP="00F039F8">
      <w:pPr>
        <w:rPr>
          <w:b/>
          <w:color w:val="C00000"/>
          <w:sz w:val="24"/>
          <w:szCs w:val="24"/>
        </w:rPr>
      </w:pPr>
      <w:r w:rsidRPr="002B2D03">
        <w:rPr>
          <w:b/>
          <w:color w:val="C00000"/>
          <w:sz w:val="24"/>
          <w:szCs w:val="24"/>
        </w:rPr>
        <w:lastRenderedPageBreak/>
        <w:t>Structural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164"/>
        <w:gridCol w:w="5139"/>
        <w:gridCol w:w="2928"/>
        <w:gridCol w:w="2837"/>
      </w:tblGrid>
      <w:tr w:rsidR="00F039F8" w:rsidRPr="002B2D03" w:rsidTr="00B8226C">
        <w:trPr>
          <w:trHeight w:val="576"/>
        </w:trPr>
        <w:tc>
          <w:tcPr>
            <w:tcW w:w="2164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b/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5139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2928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837" w:type="dxa"/>
            <w:shd w:val="clear" w:color="auto" w:fill="CB3524"/>
            <w:vAlign w:val="bottom"/>
          </w:tcPr>
          <w:p w:rsidR="00F039F8" w:rsidRPr="002B2D03" w:rsidRDefault="00F039F8" w:rsidP="00B8226C">
            <w:pPr>
              <w:rPr>
                <w:color w:val="FFFFFF" w:themeColor="background1"/>
              </w:rPr>
            </w:pPr>
            <w:r w:rsidRPr="002B2D03">
              <w:rPr>
                <w:b/>
                <w:color w:val="FFFFFF" w:themeColor="background1"/>
              </w:rPr>
              <w:t>INTENDED AUDIENCE</w:t>
            </w:r>
          </w:p>
        </w:tc>
      </w:tr>
      <w:tr w:rsidR="00F039F8" w:rsidRPr="002B2D03" w:rsidTr="00B8226C">
        <w:tc>
          <w:tcPr>
            <w:tcW w:w="2164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t>Policy and guidelines</w:t>
            </w:r>
          </w:p>
        </w:tc>
        <w:tc>
          <w:tcPr>
            <w:tcW w:w="5139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Engage professional associations in evidence sharing activities related to use of magnesium sulfate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Develop advocacy brief for district level policy-makers to promote importance of supplies and training related to PE/E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Share research showing cost savings obtained from early detection and treatment with magnesium sulfate</w:t>
            </w:r>
          </w:p>
          <w:p w:rsidR="00F039F8" w:rsidRPr="002B2D03" w:rsidRDefault="00F039F8" w:rsidP="00B8226C">
            <w:pPr>
              <w:ind w:left="216"/>
              <w:rPr>
                <w:sz w:val="20"/>
                <w:szCs w:val="20"/>
              </w:rPr>
            </w:pPr>
          </w:p>
          <w:p w:rsidR="00F039F8" w:rsidRPr="002B2D03" w:rsidRDefault="00F039F8" w:rsidP="00B8226C">
            <w:r w:rsidRPr="002B2D03">
              <w:rPr>
                <w:i/>
              </w:rPr>
              <w:t>Scaling Up Lifesaving Commodities for Women, Children, and Newborns: An Advocacy Toolkit</w:t>
            </w:r>
            <w:r w:rsidRPr="002B2D03">
              <w:t xml:space="preserve"> provides advocacy resources for utilizing the Commission platform to raise awareness and engage stakeholders in addressing commodity-related gaps in policy. See: </w:t>
            </w:r>
            <w:hyperlink r:id="rId8" w:history="1">
              <w:r w:rsidRPr="002B2D03">
                <w:rPr>
                  <w:rStyle w:val="Hyperlink"/>
                </w:rPr>
                <w:t>http://www.path.org/publications/detail.php?i=2381</w:t>
              </w:r>
            </w:hyperlink>
          </w:p>
        </w:tc>
        <w:tc>
          <w:tcPr>
            <w:tcW w:w="2928" w:type="dxa"/>
          </w:tcPr>
          <w:p w:rsidR="00F039F8" w:rsidRPr="002B2D03" w:rsidRDefault="00F039F8" w:rsidP="00B8226C">
            <w:pPr>
              <w:outlineLvl w:val="7"/>
            </w:pPr>
            <w:r w:rsidRPr="002B2D03">
              <w:t>Influence policies and guidelines</w:t>
            </w:r>
          </w:p>
        </w:tc>
        <w:tc>
          <w:tcPr>
            <w:tcW w:w="2837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t>Health officials/managers</w:t>
            </w:r>
          </w:p>
        </w:tc>
      </w:tr>
      <w:tr w:rsidR="00F039F8" w:rsidRPr="002B2D03" w:rsidTr="00B8226C">
        <w:tc>
          <w:tcPr>
            <w:tcW w:w="2164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t>Technical working groups</w:t>
            </w:r>
          </w:p>
        </w:tc>
        <w:tc>
          <w:tcPr>
            <w:tcW w:w="5139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Develop/update guidelines on PE/E detection and treatment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Update training materials on correct PE/E detection and treatment (pre-service and in service)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Assess task shifting opportunities and need for guidelines on its use in PE/E detection and treatment</w:t>
            </w:r>
          </w:p>
          <w:p w:rsidR="00F039F8" w:rsidRPr="002B2D03" w:rsidRDefault="00F039F8" w:rsidP="00B8226C">
            <w:pPr>
              <w:spacing w:before="200"/>
              <w:outlineLvl w:val="7"/>
            </w:pPr>
          </w:p>
        </w:tc>
        <w:tc>
          <w:tcPr>
            <w:tcW w:w="2928" w:type="dxa"/>
          </w:tcPr>
          <w:p w:rsidR="00F039F8" w:rsidRPr="002B2D03" w:rsidRDefault="00F039F8" w:rsidP="00B8226C">
            <w:pPr>
              <w:outlineLvl w:val="7"/>
            </w:pPr>
            <w:r w:rsidRPr="002B2D03">
              <w:t>Ensure correct knowledge</w:t>
            </w:r>
            <w:r w:rsidRPr="002B2D03">
              <w:br/>
              <w:t>Ensure correct supplies</w:t>
            </w:r>
            <w:r w:rsidRPr="002B2D03">
              <w:br/>
              <w:t>Obtain consensus for task-shifting</w:t>
            </w:r>
          </w:p>
          <w:p w:rsidR="00F039F8" w:rsidRPr="002B2D03" w:rsidRDefault="00F039F8" w:rsidP="00B8226C">
            <w:pPr>
              <w:outlineLvl w:val="7"/>
            </w:pPr>
          </w:p>
        </w:tc>
        <w:tc>
          <w:tcPr>
            <w:tcW w:w="2837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t>Facility-based providers</w:t>
            </w:r>
            <w:r w:rsidRPr="002B2D03">
              <w:br/>
              <w:t>Health officials/managers</w:t>
            </w:r>
          </w:p>
          <w:p w:rsidR="00F039F8" w:rsidRPr="002B2D03" w:rsidRDefault="00F039F8" w:rsidP="00B8226C">
            <w:pPr>
              <w:spacing w:before="200"/>
              <w:outlineLvl w:val="7"/>
            </w:pPr>
          </w:p>
        </w:tc>
      </w:tr>
      <w:tr w:rsidR="00F039F8" w:rsidRPr="002B2D03" w:rsidTr="00B8226C">
        <w:tc>
          <w:tcPr>
            <w:tcW w:w="2164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lastRenderedPageBreak/>
              <w:t xml:space="preserve">Incentives </w:t>
            </w:r>
          </w:p>
        </w:tc>
        <w:tc>
          <w:tcPr>
            <w:tcW w:w="5139" w:type="dxa"/>
          </w:tcPr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Set up an incentive scheme to reward women who go to four ANC visits and deliver at a health facility</w:t>
            </w:r>
          </w:p>
          <w:p w:rsidR="00F039F8" w:rsidRPr="002B2D03" w:rsidRDefault="00F039F8" w:rsidP="00F039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2B2D03">
              <w:rPr>
                <w:rFonts w:asciiTheme="minorHAnsi" w:hAnsiTheme="minorHAnsi"/>
                <w:lang w:val="en-US"/>
              </w:rPr>
              <w:t>Reward health facilities for the number of ANC visits and deliveries conducted</w:t>
            </w:r>
          </w:p>
        </w:tc>
        <w:tc>
          <w:tcPr>
            <w:tcW w:w="2928" w:type="dxa"/>
          </w:tcPr>
          <w:p w:rsidR="00F039F8" w:rsidRPr="002B2D03" w:rsidRDefault="00F039F8" w:rsidP="00B8226C">
            <w:pPr>
              <w:outlineLvl w:val="7"/>
            </w:pPr>
            <w:r w:rsidRPr="002B2D03">
              <w:t>Increase ANC attendance and health facility delivery</w:t>
            </w:r>
          </w:p>
        </w:tc>
        <w:tc>
          <w:tcPr>
            <w:tcW w:w="2837" w:type="dxa"/>
          </w:tcPr>
          <w:p w:rsidR="00F039F8" w:rsidRDefault="00F039F8" w:rsidP="00B8226C">
            <w:r>
              <w:t>Pregnant women and their families</w:t>
            </w:r>
          </w:p>
          <w:p w:rsidR="00F039F8" w:rsidRPr="002B2D03" w:rsidRDefault="00F039F8" w:rsidP="00B8226C">
            <w:r>
              <w:t>CHWs</w:t>
            </w:r>
          </w:p>
          <w:p w:rsidR="00F039F8" w:rsidRPr="002B2D03" w:rsidRDefault="00F039F8" w:rsidP="00B8226C">
            <w:r w:rsidRPr="002B2D03">
              <w:t>Facility-based providers</w:t>
            </w:r>
          </w:p>
          <w:p w:rsidR="00F039F8" w:rsidRPr="002B2D03" w:rsidRDefault="00F039F8" w:rsidP="00B8226C">
            <w:pPr>
              <w:spacing w:before="200"/>
              <w:outlineLvl w:val="7"/>
            </w:pPr>
          </w:p>
        </w:tc>
      </w:tr>
      <w:tr w:rsidR="00F039F8" w:rsidRPr="002B2D03" w:rsidTr="00B8226C">
        <w:tc>
          <w:tcPr>
            <w:tcW w:w="2164" w:type="dxa"/>
          </w:tcPr>
          <w:p w:rsidR="00F039F8" w:rsidRPr="002B2D03" w:rsidRDefault="00F039F8" w:rsidP="00B8226C">
            <w:pPr>
              <w:spacing w:before="200"/>
              <w:outlineLvl w:val="7"/>
              <w:rPr>
                <w:b/>
              </w:rPr>
            </w:pPr>
            <w:r w:rsidRPr="002B2D03">
              <w:t>Pre-service training</w:t>
            </w:r>
          </w:p>
        </w:tc>
        <w:tc>
          <w:tcPr>
            <w:tcW w:w="5139" w:type="dxa"/>
          </w:tcPr>
          <w:p w:rsidR="00F039F8" w:rsidRPr="002B2D03" w:rsidRDefault="00F039F8" w:rsidP="00B8226C">
            <w:pPr>
              <w:spacing w:before="200"/>
              <w:outlineLvl w:val="7"/>
            </w:pPr>
            <w:r w:rsidRPr="002B2D03">
              <w:t xml:space="preserve">Integrate </w:t>
            </w:r>
            <w:r>
              <w:t xml:space="preserve">PE/E and </w:t>
            </w:r>
            <w:r w:rsidRPr="002B2D03">
              <w:t>magnesium sulfate into pre-service training for all providers, including doctors, nurses, midwives, CHWs, etc.</w:t>
            </w:r>
          </w:p>
        </w:tc>
        <w:tc>
          <w:tcPr>
            <w:tcW w:w="2928" w:type="dxa"/>
          </w:tcPr>
          <w:p w:rsidR="00F039F8" w:rsidRPr="002B2D03" w:rsidRDefault="00F039F8" w:rsidP="00B8226C">
            <w:pPr>
              <w:outlineLvl w:val="7"/>
            </w:pPr>
            <w:r w:rsidRPr="002B2D03">
              <w:t>Increase awareness and proper use of magnesium sulfate</w:t>
            </w:r>
          </w:p>
        </w:tc>
        <w:tc>
          <w:tcPr>
            <w:tcW w:w="2837" w:type="dxa"/>
          </w:tcPr>
          <w:p w:rsidR="00F039F8" w:rsidRDefault="00F039F8" w:rsidP="00B8226C">
            <w:pPr>
              <w:spacing w:before="200"/>
              <w:outlineLvl w:val="7"/>
            </w:pPr>
            <w:r>
              <w:t>Facility-based providers</w:t>
            </w:r>
          </w:p>
          <w:p w:rsidR="00F039F8" w:rsidRPr="002B2D03" w:rsidRDefault="00F039F8" w:rsidP="00B8226C">
            <w:pPr>
              <w:spacing w:before="200"/>
              <w:outlineLvl w:val="7"/>
            </w:pPr>
            <w:r>
              <w:t>CHWs</w:t>
            </w:r>
          </w:p>
        </w:tc>
      </w:tr>
    </w:tbl>
    <w:p w:rsidR="00AF7700" w:rsidRDefault="00061229">
      <w:bookmarkStart w:id="1" w:name="_GoBack"/>
      <w:bookmarkEnd w:id="1"/>
    </w:p>
    <w:sectPr w:rsidR="00AF7700" w:rsidSect="00F039F8">
      <w:head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29" w:rsidRDefault="00061229">
      <w:pPr>
        <w:spacing w:after="0" w:line="240" w:lineRule="auto"/>
      </w:pPr>
      <w:r>
        <w:separator/>
      </w:r>
    </w:p>
  </w:endnote>
  <w:endnote w:type="continuationSeparator" w:id="0">
    <w:p w:rsidR="00061229" w:rsidRDefault="0006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29" w:rsidRDefault="00061229">
      <w:pPr>
        <w:spacing w:after="0" w:line="240" w:lineRule="auto"/>
      </w:pPr>
      <w:r>
        <w:separator/>
      </w:r>
    </w:p>
  </w:footnote>
  <w:footnote w:type="continuationSeparator" w:id="0">
    <w:p w:rsidR="00061229" w:rsidRDefault="0006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D45642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D45642" w:rsidRPr="00175C66" w:rsidRDefault="00F039F8" w:rsidP="00EE7DCC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Magnesium Sulfate: Step 5 (Determine Activities and Interventions)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45642" w:rsidRDefault="00F039F8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040018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5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D45642" w:rsidRDefault="00061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D45642" w:rsidTr="007A3525">
      <w:tc>
        <w:tcPr>
          <w:tcW w:w="4799" w:type="pct"/>
          <w:tcBorders>
            <w:bottom w:val="single" w:sz="4" w:space="0" w:color="auto"/>
          </w:tcBorders>
          <w:vAlign w:val="bottom"/>
        </w:tcPr>
        <w:p w:rsidR="00D45642" w:rsidRPr="007A3525" w:rsidRDefault="00F039F8" w:rsidP="007A3525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1C099A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 Illustrative Example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: Part 1 (Situation Analysis)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45642" w:rsidRDefault="00F039F8" w:rsidP="007A3525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48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D45642" w:rsidRDefault="00061229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6346"/>
    <w:multiLevelType w:val="hybridMultilevel"/>
    <w:tmpl w:val="8E1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82106"/>
    <w:multiLevelType w:val="hybridMultilevel"/>
    <w:tmpl w:val="C4605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F5211E"/>
    <w:multiLevelType w:val="hybridMultilevel"/>
    <w:tmpl w:val="44DE4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F8"/>
    <w:rsid w:val="00040018"/>
    <w:rsid w:val="00061229"/>
    <w:rsid w:val="000D6438"/>
    <w:rsid w:val="00AA4E26"/>
    <w:rsid w:val="00F0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039F8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39F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39F8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0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F8"/>
  </w:style>
  <w:style w:type="character" w:styleId="Hyperlink">
    <w:name w:val="Hyperlink"/>
    <w:basedOn w:val="DefaultParagraphFont"/>
    <w:uiPriority w:val="99"/>
    <w:unhideWhenUsed/>
    <w:rsid w:val="00F039F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F039F8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F03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F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039F8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39F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039F8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0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9F8"/>
  </w:style>
  <w:style w:type="character" w:styleId="Hyperlink">
    <w:name w:val="Hyperlink"/>
    <w:basedOn w:val="DefaultParagraphFont"/>
    <w:uiPriority w:val="99"/>
    <w:unhideWhenUsed/>
    <w:rsid w:val="00F039F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F039F8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F039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h.org/publications/detail.php?i=23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2014-03-18T13:29:00Z</dcterms:created>
  <dcterms:modified xsi:type="dcterms:W3CDTF">2014-03-20T12:51:00Z</dcterms:modified>
</cp:coreProperties>
</file>