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5E" w:rsidRPr="00D84B42" w:rsidRDefault="0088275E" w:rsidP="0088275E">
      <w:pPr>
        <w:pStyle w:val="Heading1"/>
      </w:pPr>
      <w:bookmarkStart w:id="0" w:name="_Toc255032586"/>
      <w:r w:rsidRPr="001C099A">
        <w:t>A</w:t>
      </w:r>
      <w:r>
        <w:t xml:space="preserve">n Illustrative </w:t>
      </w:r>
      <w:r w:rsidRPr="001C099A">
        <w:t xml:space="preserve">Communication Strategy for </w:t>
      </w:r>
      <w:r>
        <w:t>ORS and Zinc</w:t>
      </w:r>
      <w:bookmarkEnd w:id="0"/>
    </w:p>
    <w:p w:rsidR="0088275E" w:rsidRDefault="0088275E" w:rsidP="0088275E">
      <w:pPr>
        <w:pStyle w:val="Heading2"/>
      </w:pPr>
      <w:bookmarkStart w:id="1" w:name="_Toc375819981"/>
      <w:bookmarkStart w:id="2" w:name="_Toc255032587"/>
      <w:r w:rsidRPr="007D6489">
        <w:t xml:space="preserve">Step 1: </w:t>
      </w:r>
      <w:r w:rsidRPr="00773676">
        <w:t>Analyze the Situation</w:t>
      </w:r>
      <w:bookmarkEnd w:id="1"/>
      <w:bookmarkEnd w:id="2"/>
    </w:p>
    <w:p w:rsidR="0088275E" w:rsidRDefault="0088275E" w:rsidP="0088275E">
      <w:bookmarkStart w:id="3" w:name="_GoBack"/>
      <w:bookmarkEnd w:id="3"/>
    </w:p>
    <w:tbl>
      <w:tblPr>
        <w:tblStyle w:val="TableGrid1"/>
        <w:tblW w:w="0" w:type="auto"/>
        <w:tblLook w:val="04A0" w:firstRow="1" w:lastRow="0" w:firstColumn="1" w:lastColumn="0" w:noHBand="0" w:noVBand="1"/>
      </w:tblPr>
      <w:tblGrid>
        <w:gridCol w:w="4878"/>
        <w:gridCol w:w="7830"/>
      </w:tblGrid>
      <w:tr w:rsidR="0088275E" w:rsidRPr="0026285A" w:rsidTr="007A7E61">
        <w:trPr>
          <w:trHeight w:val="576"/>
        </w:trPr>
        <w:tc>
          <w:tcPr>
            <w:tcW w:w="12708" w:type="dxa"/>
            <w:gridSpan w:val="2"/>
            <w:shd w:val="clear" w:color="auto" w:fill="FFD699"/>
            <w:vAlign w:val="bottom"/>
          </w:tcPr>
          <w:p w:rsidR="0088275E" w:rsidRDefault="0088275E" w:rsidP="007A7E61">
            <w:pPr>
              <w:spacing w:before="120" w:after="120" w:line="276" w:lineRule="auto"/>
              <w:rPr>
                <w:rFonts w:eastAsia="MS Gothic" w:cs="Times New Roman"/>
                <w:b/>
                <w:bCs/>
                <w:color w:val="C00000"/>
                <w:sz w:val="24"/>
                <w:szCs w:val="24"/>
              </w:rPr>
            </w:pPr>
            <w:r w:rsidRPr="001C099A">
              <w:rPr>
                <w:rFonts w:eastAsia="MS Gothic" w:cs="Times New Roman"/>
                <w:b/>
                <w:bCs/>
                <w:color w:val="C00000"/>
                <w:sz w:val="24"/>
                <w:szCs w:val="24"/>
              </w:rPr>
              <w:t>Health and Commodity Context</w:t>
            </w:r>
          </w:p>
          <w:p w:rsidR="0088275E" w:rsidRDefault="0088275E" w:rsidP="007A7E61">
            <w:pPr>
              <w:rPr>
                <w:rFonts w:eastAsia="MS Gothic" w:cs="Times New Roman"/>
                <w:b/>
                <w:bCs/>
                <w:i/>
                <w:color w:val="4F81BD"/>
                <w:sz w:val="20"/>
                <w:szCs w:val="20"/>
              </w:rPr>
            </w:pPr>
            <w:r w:rsidRPr="001C099A">
              <w:rPr>
                <w:rFonts w:eastAsia="MS Gothic" w:cs="Times New Roman"/>
                <w:b/>
                <w:bCs/>
                <w:i/>
                <w:color w:val="C00000"/>
                <w:sz w:val="24"/>
                <w:szCs w:val="24"/>
              </w:rPr>
              <w:t xml:space="preserve">*The </w:t>
            </w:r>
            <w:r>
              <w:rPr>
                <w:rFonts w:eastAsia="MS Gothic" w:cs="Times New Roman"/>
                <w:b/>
                <w:bCs/>
                <w:i/>
                <w:color w:val="C00000"/>
                <w:sz w:val="24"/>
                <w:szCs w:val="24"/>
              </w:rPr>
              <w:t xml:space="preserve">majority of the </w:t>
            </w:r>
            <w:r w:rsidRPr="001C099A">
              <w:rPr>
                <w:rFonts w:eastAsia="MS Gothic" w:cs="Times New Roman"/>
                <w:b/>
                <w:bCs/>
                <w:i/>
                <w:color w:val="C00000"/>
                <w:sz w:val="24"/>
                <w:szCs w:val="24"/>
              </w:rPr>
              <w:t>information in this section is a global-level analysis for purposes of illustration. The country-specific situation analysis should be focused on the local context</w:t>
            </w:r>
            <w:r>
              <w:rPr>
                <w:rFonts w:eastAsia="MS Gothic" w:cs="Times New Roman"/>
                <w:b/>
                <w:bCs/>
                <w:i/>
                <w:color w:val="C00000"/>
                <w:sz w:val="24"/>
                <w:szCs w:val="24"/>
              </w:rPr>
              <w:t>.</w:t>
            </w:r>
          </w:p>
        </w:tc>
      </w:tr>
      <w:tr w:rsidR="0088275E" w:rsidRPr="0026285A" w:rsidTr="007A7E61">
        <w:tc>
          <w:tcPr>
            <w:tcW w:w="12708" w:type="dxa"/>
            <w:gridSpan w:val="2"/>
          </w:tcPr>
          <w:p w:rsidR="0088275E" w:rsidRPr="00941B77" w:rsidRDefault="0088275E" w:rsidP="007A7E61">
            <w:pPr>
              <w:spacing w:after="200" w:line="276" w:lineRule="auto"/>
              <w:rPr>
                <w:b/>
              </w:rPr>
            </w:pPr>
            <w:r w:rsidRPr="00941B77">
              <w:rPr>
                <w:b/>
              </w:rPr>
              <w:t>Health Context</w:t>
            </w:r>
          </w:p>
          <w:p w:rsidR="0088275E" w:rsidRPr="00C603AB" w:rsidRDefault="0088275E" w:rsidP="007A7E61">
            <w:pPr>
              <w:spacing w:after="200" w:line="276" w:lineRule="auto"/>
            </w:pPr>
            <w:r w:rsidRPr="00C603AB">
              <w:t xml:space="preserve">Globally, 2.5 million cases of diarrhea occur in children every </w:t>
            </w:r>
            <w:proofErr w:type="gramStart"/>
            <w:r w:rsidRPr="00C603AB">
              <w:t>year,</w:t>
            </w:r>
            <w:proofErr w:type="gramEnd"/>
            <w:r w:rsidRPr="00C603AB">
              <w:t xml:space="preserve"> and children 24 months or younger are at the greatest risk </w:t>
            </w:r>
            <w:r>
              <w:t>of death from diarrheal disease</w:t>
            </w:r>
            <w:r w:rsidRPr="00C603AB">
              <w:t xml:space="preserve"> (UNICEF, 2009). Diarrheal diseases cause approximately 11% of deaths among children under </w:t>
            </w:r>
            <w:r>
              <w:t>five</w:t>
            </w:r>
            <w:r w:rsidRPr="00C603AB">
              <w:t xml:space="preserve"> worldwide, or 0.7 million deaths in 2011, mostly in developing countries.  More than half of these deaths occur in just four countries: India, Nigeria, the Democratic Republic of the Congo and Pakistan (UNICEF Reanalysis, 2012).  </w:t>
            </w:r>
          </w:p>
          <w:p w:rsidR="0088275E" w:rsidRPr="007A1EAC" w:rsidRDefault="0088275E" w:rsidP="007A7E61">
            <w:pPr>
              <w:spacing w:line="276" w:lineRule="auto"/>
              <w:rPr>
                <w:rFonts w:cs="Arial"/>
                <w:shd w:val="clear" w:color="auto" w:fill="FFFFFF"/>
              </w:rPr>
            </w:pPr>
            <w:r>
              <w:rPr>
                <w:rFonts w:cs="Arial"/>
                <w:shd w:val="clear" w:color="auto" w:fill="FFFFFF"/>
              </w:rPr>
              <w:t xml:space="preserve">The World Health Organization (WHO) </w:t>
            </w:r>
            <w:r w:rsidRPr="00A24EE7">
              <w:rPr>
                <w:rFonts w:cs="Arial"/>
                <w:shd w:val="clear" w:color="auto" w:fill="FFFFFF"/>
              </w:rPr>
              <w:t>recom</w:t>
            </w:r>
            <w:r>
              <w:rPr>
                <w:rFonts w:cs="Arial"/>
                <w:shd w:val="clear" w:color="auto" w:fill="FFFFFF"/>
              </w:rPr>
              <w:t>mended treatment for diarrhea is</w:t>
            </w:r>
            <w:r w:rsidRPr="00A24EE7">
              <w:rPr>
                <w:rFonts w:cs="Arial"/>
                <w:shd w:val="clear" w:color="auto" w:fill="FFFFFF"/>
              </w:rPr>
              <w:t xml:space="preserve"> </w:t>
            </w:r>
            <w:r w:rsidRPr="00786A48">
              <w:rPr>
                <w:rFonts w:cs="Arial"/>
                <w:shd w:val="clear" w:color="auto" w:fill="FFFFFF"/>
              </w:rPr>
              <w:t>ORS and zinc</w:t>
            </w:r>
            <w:r w:rsidRPr="00A24EE7">
              <w:rPr>
                <w:rFonts w:cs="Arial"/>
                <w:shd w:val="clear" w:color="auto" w:fill="FFFFFF"/>
              </w:rPr>
              <w:t xml:space="preserve">, products that are highly effective and affordable. Low </w:t>
            </w:r>
            <w:proofErr w:type="spellStart"/>
            <w:r w:rsidRPr="00A24EE7">
              <w:rPr>
                <w:rFonts w:cs="Arial"/>
                <w:shd w:val="clear" w:color="auto" w:fill="FFFFFF"/>
              </w:rPr>
              <w:t>osmolarity</w:t>
            </w:r>
            <w:proofErr w:type="spellEnd"/>
            <w:r w:rsidRPr="00A24EE7">
              <w:rPr>
                <w:rFonts w:cs="Arial"/>
                <w:shd w:val="clear" w:color="auto" w:fill="FFFFFF"/>
              </w:rPr>
              <w:t xml:space="preserve"> ORS </w:t>
            </w:r>
            <w:r>
              <w:rPr>
                <w:rFonts w:cs="Arial"/>
                <w:shd w:val="clear" w:color="auto" w:fill="FFFFFF"/>
              </w:rPr>
              <w:t xml:space="preserve">(L-ORS) </w:t>
            </w:r>
            <w:r w:rsidRPr="00A24EE7">
              <w:rPr>
                <w:rFonts w:cs="Arial"/>
                <w:shd w:val="clear" w:color="auto" w:fill="FFFFFF"/>
              </w:rPr>
              <w:t>and zinc prevent a majority of d</w:t>
            </w:r>
            <w:r>
              <w:rPr>
                <w:rFonts w:cs="Arial"/>
                <w:shd w:val="clear" w:color="auto" w:fill="FFFFFF"/>
              </w:rPr>
              <w:t>eaths and cost approximately US</w:t>
            </w:r>
            <w:r w:rsidRPr="00A24EE7">
              <w:rPr>
                <w:rFonts w:cs="Arial"/>
                <w:shd w:val="clear" w:color="auto" w:fill="FFFFFF"/>
              </w:rPr>
              <w:t xml:space="preserve"> </w:t>
            </w:r>
            <w:r>
              <w:rPr>
                <w:rFonts w:cs="Arial"/>
                <w:shd w:val="clear" w:color="auto" w:fill="FFFFFF"/>
              </w:rPr>
              <w:t>$</w:t>
            </w:r>
            <w:r w:rsidRPr="00A24EE7">
              <w:rPr>
                <w:rFonts w:cs="Arial"/>
                <w:shd w:val="clear" w:color="auto" w:fill="FFFFFF"/>
              </w:rPr>
              <w:t>1 per treatment course.</w:t>
            </w:r>
            <w:r w:rsidRPr="00A24EE7">
              <w:rPr>
                <w:rStyle w:val="FootnoteReference"/>
                <w:rFonts w:cs="Arial"/>
                <w:shd w:val="clear" w:color="auto" w:fill="FFFFFF"/>
              </w:rPr>
              <w:footnoteReference w:id="1"/>
            </w:r>
            <w:r w:rsidRPr="00A24EE7">
              <w:rPr>
                <w:rFonts w:cs="Arial"/>
                <w:shd w:val="clear" w:color="auto" w:fill="FFFFFF"/>
              </w:rPr>
              <w:t xml:space="preserve"> </w:t>
            </w:r>
            <w:r w:rsidRPr="00666B67">
              <w:rPr>
                <w:rFonts w:cs="Arial"/>
                <w:shd w:val="clear" w:color="auto" w:fill="FFFFFF"/>
              </w:rPr>
              <w:t xml:space="preserve"> Despite the existence of these simple, life-saving treatments</w:t>
            </w:r>
            <w:r w:rsidRPr="00A83AA0">
              <w:rPr>
                <w:rFonts w:cs="Arial"/>
                <w:shd w:val="clear" w:color="auto" w:fill="FFFFFF"/>
              </w:rPr>
              <w:t> and the l</w:t>
            </w:r>
            <w:r w:rsidRPr="005B6D30">
              <w:rPr>
                <w:rFonts w:cs="Arial"/>
                <w:shd w:val="clear" w:color="auto" w:fill="FFFFFF"/>
              </w:rPr>
              <w:t>ow cost of the treatments, many children with diarrhea are not receiving these products in developing countries: only 38% of children receive ORS</w:t>
            </w:r>
            <w:r w:rsidRPr="001E18F1">
              <w:rPr>
                <w:rFonts w:cs="Arial"/>
                <w:shd w:val="clear" w:color="auto" w:fill="FFFFFF"/>
              </w:rPr>
              <w:t xml:space="preserve"> and </w:t>
            </w:r>
            <w:r w:rsidRPr="007A1EAC">
              <w:rPr>
                <w:rFonts w:cs="Arial"/>
                <w:shd w:val="clear" w:color="auto" w:fill="FFFFFF"/>
              </w:rPr>
              <w:t>less than 5% receive zinc (Black, 2010; UNICEF SOWC, 2011).</w:t>
            </w:r>
          </w:p>
          <w:p w:rsidR="0088275E" w:rsidRPr="00A83623" w:rsidRDefault="0088275E" w:rsidP="007A7E61">
            <w:pPr>
              <w:spacing w:line="276" w:lineRule="auto"/>
              <w:rPr>
                <w:rFonts w:cs="Arial"/>
                <w:shd w:val="clear" w:color="auto" w:fill="FFFFFF"/>
              </w:rPr>
            </w:pPr>
          </w:p>
          <w:p w:rsidR="0088275E" w:rsidRPr="00B34995" w:rsidRDefault="0088275E" w:rsidP="007A7E61">
            <w:pPr>
              <w:spacing w:line="276" w:lineRule="auto"/>
              <w:rPr>
                <w:rFonts w:cs="Arial"/>
                <w:highlight w:val="yellow"/>
                <w:shd w:val="clear" w:color="auto" w:fill="FFFFFF"/>
              </w:rPr>
            </w:pPr>
            <w:r w:rsidRPr="000B3BA3">
              <w:rPr>
                <w:rFonts w:cs="Arial"/>
                <w:shd w:val="clear" w:color="auto" w:fill="FFFFFF"/>
              </w:rPr>
              <w:t xml:space="preserve">The WHO definition of diarrhea is </w:t>
            </w:r>
            <w:r w:rsidRPr="00797EA4">
              <w:rPr>
                <w:rFonts w:cs="Arial"/>
                <w:shd w:val="clear" w:color="auto" w:fill="FFFFFF"/>
              </w:rPr>
              <w:t>“three or</w:t>
            </w:r>
            <w:r w:rsidRPr="00703693">
              <w:rPr>
                <w:rFonts w:cs="Arial"/>
                <w:shd w:val="clear" w:color="auto" w:fill="FFFFFF"/>
              </w:rPr>
              <w:t xml:space="preserve"> more loose or liquid stools per day (or more frequent passage than is normal for the individual).” </w:t>
            </w:r>
            <w:r w:rsidRPr="00F0627D">
              <w:rPr>
                <w:rFonts w:cs="Arial"/>
                <w:shd w:val="clear" w:color="auto" w:fill="FFFFFF"/>
              </w:rPr>
              <w:t xml:space="preserve">Diarrhea </w:t>
            </w:r>
            <w:r w:rsidRPr="00F06949">
              <w:rPr>
                <w:rFonts w:cs="Arial"/>
                <w:shd w:val="clear" w:color="auto" w:fill="FFFFFF"/>
              </w:rPr>
              <w:t>is often caused by bacteria, viruses</w:t>
            </w:r>
            <w:r w:rsidRPr="00C54D99">
              <w:rPr>
                <w:rFonts w:cs="Arial"/>
                <w:shd w:val="clear" w:color="auto" w:fill="FFFFFF"/>
              </w:rPr>
              <w:t xml:space="preserve"> and</w:t>
            </w:r>
            <w:r w:rsidRPr="00410BFE">
              <w:rPr>
                <w:rFonts w:cs="Arial"/>
                <w:shd w:val="clear" w:color="auto" w:fill="FFFFFF"/>
              </w:rPr>
              <w:t xml:space="preserve"> </w:t>
            </w:r>
            <w:proofErr w:type="gramStart"/>
            <w:r w:rsidRPr="00410BFE">
              <w:rPr>
                <w:rFonts w:cs="Arial"/>
                <w:shd w:val="clear" w:color="auto" w:fill="FFFFFF"/>
              </w:rPr>
              <w:t>parasites found in human feces</w:t>
            </w:r>
            <w:r w:rsidRPr="0082740C">
              <w:rPr>
                <w:rFonts w:cs="Arial"/>
                <w:shd w:val="clear" w:color="auto" w:fill="FFFFFF"/>
              </w:rPr>
              <w:t xml:space="preserve"> </w:t>
            </w:r>
            <w:r w:rsidRPr="00D537EB">
              <w:rPr>
                <w:rFonts w:cs="Arial"/>
                <w:shd w:val="clear" w:color="auto" w:fill="FFFFFF"/>
              </w:rPr>
              <w:t>and is</w:t>
            </w:r>
            <w:proofErr w:type="gramEnd"/>
            <w:r w:rsidRPr="00D537EB">
              <w:rPr>
                <w:rFonts w:cs="Arial"/>
                <w:shd w:val="clear" w:color="auto" w:fill="FFFFFF"/>
              </w:rPr>
              <w:t xml:space="preserve"> transmitted to humans when contaminated </w:t>
            </w:r>
            <w:r w:rsidRPr="00951F90">
              <w:rPr>
                <w:rFonts w:cs="Arial"/>
                <w:shd w:val="clear" w:color="auto" w:fill="FFFFFF"/>
              </w:rPr>
              <w:t>food or water</w:t>
            </w:r>
            <w:r w:rsidRPr="00F535FF">
              <w:rPr>
                <w:rFonts w:cs="Arial"/>
                <w:shd w:val="clear" w:color="auto" w:fill="FFFFFF"/>
              </w:rPr>
              <w:t xml:space="preserve"> is ingested.</w:t>
            </w:r>
            <w:r w:rsidRPr="00B139C6">
              <w:rPr>
                <w:rFonts w:cs="Arial"/>
                <w:shd w:val="clear" w:color="auto" w:fill="FFFFFF"/>
              </w:rPr>
              <w:t xml:space="preserve"> </w:t>
            </w:r>
          </w:p>
          <w:p w:rsidR="0088275E" w:rsidRPr="00B6197C" w:rsidRDefault="0088275E" w:rsidP="007A7E61">
            <w:pPr>
              <w:spacing w:line="276" w:lineRule="auto"/>
              <w:rPr>
                <w:rFonts w:cs="Arial"/>
                <w:highlight w:val="yellow"/>
                <w:shd w:val="clear" w:color="auto" w:fill="FFFFFF"/>
              </w:rPr>
            </w:pPr>
          </w:p>
          <w:p w:rsidR="0088275E" w:rsidRDefault="0088275E" w:rsidP="007A7E61">
            <w:pPr>
              <w:spacing w:line="276" w:lineRule="auto"/>
              <w:rPr>
                <w:bCs/>
                <w:iCs/>
              </w:rPr>
            </w:pPr>
            <w:r w:rsidRPr="003C2647">
              <w:rPr>
                <w:rFonts w:cs="Arial"/>
                <w:shd w:val="clear" w:color="auto" w:fill="FFFFFF"/>
              </w:rPr>
              <w:t xml:space="preserve">Dehydration is the most severe threat posed by diarrhea. </w:t>
            </w:r>
            <w:r w:rsidRPr="00625505">
              <w:rPr>
                <w:rFonts w:cs="Arial"/>
                <w:shd w:val="clear" w:color="auto" w:fill="FFFFFF"/>
              </w:rPr>
              <w:t>I</w:t>
            </w:r>
            <w:r w:rsidRPr="00C62797">
              <w:rPr>
                <w:rFonts w:cs="Arial"/>
                <w:shd w:val="clear" w:color="auto" w:fill="FFFFFF"/>
              </w:rPr>
              <w:t xml:space="preserve">f fluids are not replaced at the first signs of diarrhea, dehydration can result in </w:t>
            </w:r>
            <w:r w:rsidRPr="00C62797">
              <w:rPr>
                <w:rFonts w:cs="Arial"/>
                <w:shd w:val="clear" w:color="auto" w:fill="FFFFFF"/>
              </w:rPr>
              <w:lastRenderedPageBreak/>
              <w:t xml:space="preserve">death or other severe consequences. </w:t>
            </w:r>
            <w:r w:rsidRPr="00481F7D">
              <w:rPr>
                <w:rFonts w:cs="Arial"/>
                <w:shd w:val="clear" w:color="auto" w:fill="FFFFFF"/>
              </w:rPr>
              <w:t>In young children, d</w:t>
            </w:r>
            <w:r w:rsidRPr="00A71E45">
              <w:rPr>
                <w:rFonts w:cs="Arial"/>
                <w:shd w:val="clear" w:color="auto" w:fill="FFFFFF"/>
              </w:rPr>
              <w:t xml:space="preserve">iarrhea </w:t>
            </w:r>
            <w:r w:rsidRPr="001A5636">
              <w:rPr>
                <w:rFonts w:cs="Arial"/>
                <w:shd w:val="clear" w:color="auto" w:fill="FFFFFF"/>
              </w:rPr>
              <w:t>may</w:t>
            </w:r>
            <w:r w:rsidRPr="00DD117F">
              <w:rPr>
                <w:rFonts w:cs="Arial"/>
                <w:shd w:val="clear" w:color="auto" w:fill="FFFFFF"/>
              </w:rPr>
              <w:t xml:space="preserve"> lead to reduced food intake and nutrient ab</w:t>
            </w:r>
            <w:r w:rsidRPr="00F4646F">
              <w:rPr>
                <w:rFonts w:cs="Arial"/>
                <w:shd w:val="clear" w:color="auto" w:fill="FFFFFF"/>
              </w:rPr>
              <w:t xml:space="preserve">sorption, malnutrition, reduced resistance to infection, and impaired physical growth and cognitive development (UNICEF, 2007).  There is a cyclical relationship between diarrhea and </w:t>
            </w:r>
            <w:r w:rsidRPr="00E841D1">
              <w:rPr>
                <w:bCs/>
                <w:iCs/>
              </w:rPr>
              <w:t>under-nutrition. Under-nutrition reduces the immune system’s ability to defend against diarrhea-causing pathogens and</w:t>
            </w:r>
            <w:r>
              <w:rPr>
                <w:bCs/>
                <w:iCs/>
              </w:rPr>
              <w:t>,</w:t>
            </w:r>
            <w:r w:rsidRPr="00E841D1">
              <w:rPr>
                <w:bCs/>
                <w:iCs/>
              </w:rPr>
              <w:t xml:space="preserve"> subsequently, diarrhea deprives a child’s body of essential nutrients necessary for growth, development and a healthy immune system, which increases the likelihood of repeat infections. (World Bank, 2006)</w:t>
            </w:r>
          </w:p>
          <w:p w:rsidR="0088275E" w:rsidRPr="00F61D0A" w:rsidRDefault="0088275E" w:rsidP="007A7E61">
            <w:pPr>
              <w:spacing w:line="276" w:lineRule="auto"/>
              <w:rPr>
                <w:bCs/>
                <w:iCs/>
              </w:rPr>
            </w:pPr>
          </w:p>
          <w:p w:rsidR="0088275E" w:rsidRPr="00941B77" w:rsidRDefault="0088275E" w:rsidP="007A7E61">
            <w:pPr>
              <w:spacing w:after="200" w:line="276" w:lineRule="auto"/>
              <w:rPr>
                <w:b/>
              </w:rPr>
            </w:pPr>
            <w:r w:rsidRPr="00941B77">
              <w:rPr>
                <w:b/>
              </w:rPr>
              <w:t>Commodity Context</w:t>
            </w:r>
          </w:p>
          <w:p w:rsidR="0088275E" w:rsidRPr="00A24EE7" w:rsidRDefault="0088275E" w:rsidP="007A7E61">
            <w:pPr>
              <w:spacing w:after="200" w:line="276" w:lineRule="auto"/>
              <w:rPr>
                <w:rFonts w:cs="Arial"/>
                <w:shd w:val="clear" w:color="auto" w:fill="FFFFFF"/>
              </w:rPr>
            </w:pPr>
            <w:r w:rsidRPr="00A24EE7">
              <w:rPr>
                <w:rFonts w:cs="Arial"/>
                <w:shd w:val="clear" w:color="auto" w:fill="FFFFFF"/>
              </w:rPr>
              <w:t xml:space="preserve">The WHO recommended treatment for diarrhea is </w:t>
            </w:r>
            <w:r w:rsidRPr="00A24EE7">
              <w:rPr>
                <w:rFonts w:cs="Arial"/>
                <w:b/>
                <w:shd w:val="clear" w:color="auto" w:fill="FFFFFF"/>
              </w:rPr>
              <w:t>oral rehydration solution (ORS) and zinc</w:t>
            </w:r>
            <w:r w:rsidRPr="00A24EE7">
              <w:rPr>
                <w:rFonts w:cs="Arial"/>
                <w:shd w:val="clear" w:color="auto" w:fill="FFFFFF"/>
              </w:rPr>
              <w:t>. The WHO specifically recommends low-</w:t>
            </w:r>
            <w:proofErr w:type="spellStart"/>
            <w:r w:rsidRPr="00A24EE7">
              <w:rPr>
                <w:rFonts w:cs="Arial"/>
                <w:shd w:val="clear" w:color="auto" w:fill="FFFFFF"/>
              </w:rPr>
              <w:t>osmolarity</w:t>
            </w:r>
            <w:proofErr w:type="spellEnd"/>
            <w:r w:rsidRPr="00A24EE7">
              <w:rPr>
                <w:rFonts w:cs="Arial"/>
                <w:shd w:val="clear" w:color="auto" w:fill="FFFFFF"/>
              </w:rPr>
              <w:t xml:space="preserve"> ORS.</w:t>
            </w:r>
          </w:p>
          <w:p w:rsidR="0088275E" w:rsidRPr="00A24EE7" w:rsidRDefault="0088275E" w:rsidP="007A7E61">
            <w:pPr>
              <w:spacing w:after="200" w:line="276" w:lineRule="auto"/>
              <w:rPr>
                <w:b/>
              </w:rPr>
            </w:pPr>
            <w:r w:rsidRPr="00A24EE7">
              <w:rPr>
                <w:b/>
              </w:rPr>
              <w:t>ORS</w:t>
            </w:r>
          </w:p>
          <w:p w:rsidR="0088275E" w:rsidRPr="00F61D0A" w:rsidRDefault="0088275E" w:rsidP="007A7E61">
            <w:pPr>
              <w:widowControl w:val="0"/>
              <w:autoSpaceDE w:val="0"/>
              <w:autoSpaceDN w:val="0"/>
              <w:adjustRightInd w:val="0"/>
              <w:spacing w:after="240" w:line="276" w:lineRule="auto"/>
              <w:ind w:left="720"/>
              <w:rPr>
                <w:i/>
              </w:rPr>
            </w:pPr>
            <w:r w:rsidRPr="00F61D0A">
              <w:rPr>
                <w:i/>
              </w:rPr>
              <w:t>Formulation: WHO’s and UNICEF’s standard formulation for low-</w:t>
            </w:r>
            <w:proofErr w:type="spellStart"/>
            <w:r w:rsidRPr="00F61D0A">
              <w:rPr>
                <w:i/>
              </w:rPr>
              <w:t>osmolarity</w:t>
            </w:r>
            <w:proofErr w:type="spellEnd"/>
            <w:r w:rsidRPr="00F61D0A">
              <w:rPr>
                <w:i/>
              </w:rPr>
              <w:t xml:space="preserve"> ORS is:</w:t>
            </w:r>
          </w:p>
          <w:p w:rsidR="0088275E" w:rsidRPr="00F61D0A" w:rsidRDefault="0088275E" w:rsidP="007A7E61">
            <w:pPr>
              <w:widowControl w:val="0"/>
              <w:autoSpaceDE w:val="0"/>
              <w:autoSpaceDN w:val="0"/>
              <w:adjustRightInd w:val="0"/>
              <w:spacing w:after="240" w:line="276" w:lineRule="auto"/>
              <w:ind w:left="720"/>
              <w:rPr>
                <w:rFonts w:cs="Times"/>
                <w:i/>
              </w:rPr>
            </w:pPr>
            <w:r w:rsidRPr="00A24EE7">
              <w:t xml:space="preserve"> </w:t>
            </w:r>
            <w:r w:rsidRPr="00F61D0A">
              <w:rPr>
                <w:rFonts w:cs="Arial"/>
                <w:i/>
                <w:shd w:val="clear" w:color="auto" w:fill="FFFFFF"/>
              </w:rPr>
              <w:t xml:space="preserve">Powder for dilution </w:t>
            </w:r>
            <w:r w:rsidRPr="00F61D0A">
              <w:rPr>
                <w:i/>
              </w:rPr>
              <w:t>in 200 ml; 500 ml; 1 L.</w:t>
            </w:r>
          </w:p>
          <w:tbl>
            <w:tblPr>
              <w:tblStyle w:val="TableGrid1"/>
              <w:tblpPr w:leftFromText="180" w:rightFromText="180" w:vertAnchor="page" w:horzAnchor="page" w:tblpX="841" w:tblpY="5048"/>
              <w:tblOverlap w:val="never"/>
              <w:tblW w:w="0" w:type="auto"/>
              <w:tblLook w:val="04A0" w:firstRow="1" w:lastRow="0" w:firstColumn="1" w:lastColumn="0" w:noHBand="0" w:noVBand="1"/>
            </w:tblPr>
            <w:tblGrid>
              <w:gridCol w:w="2335"/>
              <w:gridCol w:w="1549"/>
              <w:gridCol w:w="2463"/>
              <w:gridCol w:w="1215"/>
            </w:tblGrid>
            <w:tr w:rsidR="0088275E" w:rsidRPr="00A24EE7" w:rsidTr="007A7E61">
              <w:tc>
                <w:tcPr>
                  <w:tcW w:w="2335" w:type="dxa"/>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b/>
                      <w:bCs/>
                    </w:rPr>
                    <w:t xml:space="preserve">Reduced </w:t>
                  </w:r>
                  <w:proofErr w:type="spellStart"/>
                  <w:r w:rsidRPr="00A24EE7">
                    <w:rPr>
                      <w:rFonts w:cs="Times New Roman"/>
                      <w:b/>
                      <w:bCs/>
                    </w:rPr>
                    <w:t>osmolarity</w:t>
                  </w:r>
                  <w:proofErr w:type="spellEnd"/>
                  <w:r w:rsidRPr="00A24EE7">
                    <w:rPr>
                      <w:rFonts w:cs="Times New Roman"/>
                      <w:b/>
                      <w:bCs/>
                    </w:rPr>
                    <w:t xml:space="preserve"> ORS</w:t>
                  </w:r>
                </w:p>
              </w:tc>
              <w:tc>
                <w:tcPr>
                  <w:tcW w:w="1549" w:type="dxa"/>
                  <w:hideMark/>
                </w:tcPr>
                <w:p w:rsidR="0088275E" w:rsidRPr="00A24EE7" w:rsidRDefault="0088275E" w:rsidP="007A7E61">
                  <w:pPr>
                    <w:spacing w:before="100" w:beforeAutospacing="1" w:after="100" w:afterAutospacing="1" w:line="276" w:lineRule="auto"/>
                    <w:jc w:val="center"/>
                    <w:rPr>
                      <w:rFonts w:cs="Times New Roman"/>
                    </w:rPr>
                  </w:pPr>
                  <w:r w:rsidRPr="00A24EE7">
                    <w:rPr>
                      <w:rFonts w:cs="Times New Roman"/>
                      <w:b/>
                      <w:bCs/>
                    </w:rPr>
                    <w:t>grams/</w:t>
                  </w:r>
                  <w:proofErr w:type="spellStart"/>
                  <w:r w:rsidRPr="00A24EE7">
                    <w:rPr>
                      <w:rFonts w:cs="Times New Roman"/>
                      <w:b/>
                      <w:bCs/>
                    </w:rPr>
                    <w:t>litre</w:t>
                  </w:r>
                  <w:proofErr w:type="spellEnd"/>
                </w:p>
              </w:tc>
              <w:tc>
                <w:tcPr>
                  <w:tcW w:w="0" w:type="auto"/>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b/>
                      <w:bCs/>
                    </w:rPr>
                    <w:t xml:space="preserve">Reduced </w:t>
                  </w:r>
                  <w:proofErr w:type="spellStart"/>
                  <w:r w:rsidRPr="00A24EE7">
                    <w:rPr>
                      <w:rFonts w:cs="Times New Roman"/>
                      <w:b/>
                      <w:bCs/>
                    </w:rPr>
                    <w:t>osmolarity</w:t>
                  </w:r>
                  <w:proofErr w:type="spellEnd"/>
                  <w:r w:rsidRPr="00A24EE7">
                    <w:rPr>
                      <w:rFonts w:cs="Times New Roman"/>
                      <w:b/>
                      <w:bCs/>
                    </w:rPr>
                    <w:t xml:space="preserve"> ORS</w:t>
                  </w:r>
                </w:p>
              </w:tc>
              <w:tc>
                <w:tcPr>
                  <w:tcW w:w="0" w:type="auto"/>
                  <w:hideMark/>
                </w:tcPr>
                <w:p w:rsidR="0088275E" w:rsidRPr="00A24EE7" w:rsidRDefault="0088275E" w:rsidP="007A7E61">
                  <w:pPr>
                    <w:spacing w:before="100" w:beforeAutospacing="1" w:after="100" w:afterAutospacing="1" w:line="276" w:lineRule="auto"/>
                    <w:jc w:val="center"/>
                    <w:rPr>
                      <w:rFonts w:cs="Times New Roman"/>
                    </w:rPr>
                  </w:pPr>
                  <w:proofErr w:type="spellStart"/>
                  <w:r w:rsidRPr="00A24EE7">
                    <w:rPr>
                      <w:rFonts w:cs="Times New Roman"/>
                      <w:b/>
                      <w:bCs/>
                    </w:rPr>
                    <w:t>mmol</w:t>
                  </w:r>
                  <w:proofErr w:type="spellEnd"/>
                  <w:r w:rsidRPr="00A24EE7">
                    <w:rPr>
                      <w:rFonts w:cs="Times New Roman"/>
                      <w:b/>
                      <w:bCs/>
                    </w:rPr>
                    <w:t>/</w:t>
                  </w:r>
                  <w:proofErr w:type="spellStart"/>
                  <w:r w:rsidRPr="00A24EE7">
                    <w:rPr>
                      <w:rFonts w:cs="Times New Roman"/>
                      <w:b/>
                      <w:bCs/>
                    </w:rPr>
                    <w:t>litre</w:t>
                  </w:r>
                  <w:proofErr w:type="spellEnd"/>
                </w:p>
              </w:tc>
            </w:tr>
            <w:tr w:rsidR="0088275E" w:rsidRPr="00A24EE7" w:rsidTr="007A7E61">
              <w:tc>
                <w:tcPr>
                  <w:tcW w:w="2335" w:type="dxa"/>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rPr>
                    <w:t>Sodium chloride</w:t>
                  </w:r>
                </w:p>
              </w:tc>
              <w:tc>
                <w:tcPr>
                  <w:tcW w:w="1549" w:type="dxa"/>
                  <w:hideMark/>
                </w:tcPr>
                <w:p w:rsidR="0088275E" w:rsidRPr="00A24EE7" w:rsidRDefault="0088275E" w:rsidP="007A7E61">
                  <w:pPr>
                    <w:spacing w:before="100" w:beforeAutospacing="1" w:after="100" w:afterAutospacing="1" w:line="276" w:lineRule="auto"/>
                    <w:jc w:val="center"/>
                    <w:rPr>
                      <w:rFonts w:cs="Times New Roman"/>
                    </w:rPr>
                  </w:pPr>
                  <w:r w:rsidRPr="00A24EE7">
                    <w:rPr>
                      <w:rFonts w:cs="Times New Roman"/>
                    </w:rPr>
                    <w:t>2.6</w:t>
                  </w:r>
                </w:p>
              </w:tc>
              <w:tc>
                <w:tcPr>
                  <w:tcW w:w="0" w:type="auto"/>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rPr>
                    <w:t>Sodium</w:t>
                  </w:r>
                </w:p>
              </w:tc>
              <w:tc>
                <w:tcPr>
                  <w:tcW w:w="0" w:type="auto"/>
                  <w:hideMark/>
                </w:tcPr>
                <w:p w:rsidR="0088275E" w:rsidRPr="00A24EE7" w:rsidRDefault="0088275E" w:rsidP="007A7E61">
                  <w:pPr>
                    <w:spacing w:before="100" w:beforeAutospacing="1" w:after="100" w:afterAutospacing="1" w:line="276" w:lineRule="auto"/>
                    <w:jc w:val="center"/>
                    <w:rPr>
                      <w:rFonts w:cs="Times New Roman"/>
                    </w:rPr>
                  </w:pPr>
                  <w:r w:rsidRPr="00A24EE7">
                    <w:rPr>
                      <w:rFonts w:cs="Times New Roman"/>
                    </w:rPr>
                    <w:t>75</w:t>
                  </w:r>
                </w:p>
              </w:tc>
            </w:tr>
            <w:tr w:rsidR="0088275E" w:rsidRPr="00A24EE7" w:rsidTr="007A7E61">
              <w:tc>
                <w:tcPr>
                  <w:tcW w:w="2335" w:type="dxa"/>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rPr>
                    <w:t>Glucose, anhydrous</w:t>
                  </w:r>
                </w:p>
              </w:tc>
              <w:tc>
                <w:tcPr>
                  <w:tcW w:w="1549" w:type="dxa"/>
                  <w:hideMark/>
                </w:tcPr>
                <w:p w:rsidR="0088275E" w:rsidRPr="00A24EE7" w:rsidRDefault="0088275E" w:rsidP="007A7E61">
                  <w:pPr>
                    <w:spacing w:before="100" w:beforeAutospacing="1" w:after="100" w:afterAutospacing="1" w:line="276" w:lineRule="auto"/>
                    <w:jc w:val="center"/>
                    <w:rPr>
                      <w:rFonts w:cs="Times New Roman"/>
                    </w:rPr>
                  </w:pPr>
                  <w:r w:rsidRPr="00A24EE7">
                    <w:rPr>
                      <w:rFonts w:cs="Times New Roman"/>
                    </w:rPr>
                    <w:t>13.5</w:t>
                  </w:r>
                </w:p>
              </w:tc>
              <w:tc>
                <w:tcPr>
                  <w:tcW w:w="0" w:type="auto"/>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rPr>
                    <w:t>Chloride</w:t>
                  </w:r>
                </w:p>
              </w:tc>
              <w:tc>
                <w:tcPr>
                  <w:tcW w:w="0" w:type="auto"/>
                  <w:hideMark/>
                </w:tcPr>
                <w:p w:rsidR="0088275E" w:rsidRPr="00A24EE7" w:rsidRDefault="0088275E" w:rsidP="007A7E61">
                  <w:pPr>
                    <w:spacing w:before="100" w:beforeAutospacing="1" w:after="100" w:afterAutospacing="1" w:line="276" w:lineRule="auto"/>
                    <w:jc w:val="center"/>
                    <w:rPr>
                      <w:rFonts w:cs="Times New Roman"/>
                    </w:rPr>
                  </w:pPr>
                  <w:r w:rsidRPr="00A24EE7">
                    <w:rPr>
                      <w:rFonts w:cs="Times New Roman"/>
                    </w:rPr>
                    <w:t>65</w:t>
                  </w:r>
                </w:p>
              </w:tc>
            </w:tr>
            <w:tr w:rsidR="0088275E" w:rsidRPr="00A24EE7" w:rsidTr="007A7E61">
              <w:tc>
                <w:tcPr>
                  <w:tcW w:w="2335" w:type="dxa"/>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rPr>
                    <w:t>Potassium chloride</w:t>
                  </w:r>
                </w:p>
              </w:tc>
              <w:tc>
                <w:tcPr>
                  <w:tcW w:w="1549" w:type="dxa"/>
                  <w:hideMark/>
                </w:tcPr>
                <w:p w:rsidR="0088275E" w:rsidRPr="00A24EE7" w:rsidRDefault="0088275E" w:rsidP="007A7E61">
                  <w:pPr>
                    <w:spacing w:before="100" w:beforeAutospacing="1" w:after="100" w:afterAutospacing="1" w:line="276" w:lineRule="auto"/>
                    <w:jc w:val="center"/>
                    <w:rPr>
                      <w:rFonts w:cs="Times New Roman"/>
                    </w:rPr>
                  </w:pPr>
                  <w:r w:rsidRPr="00A24EE7">
                    <w:rPr>
                      <w:rFonts w:cs="Times New Roman"/>
                    </w:rPr>
                    <w:t>1.5</w:t>
                  </w:r>
                </w:p>
              </w:tc>
              <w:tc>
                <w:tcPr>
                  <w:tcW w:w="0" w:type="auto"/>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rPr>
                    <w:t>Glucose, anhydrous</w:t>
                  </w:r>
                </w:p>
              </w:tc>
              <w:tc>
                <w:tcPr>
                  <w:tcW w:w="0" w:type="auto"/>
                  <w:hideMark/>
                </w:tcPr>
                <w:p w:rsidR="0088275E" w:rsidRPr="00A24EE7" w:rsidRDefault="0088275E" w:rsidP="007A7E61">
                  <w:pPr>
                    <w:spacing w:before="100" w:beforeAutospacing="1" w:after="100" w:afterAutospacing="1" w:line="276" w:lineRule="auto"/>
                    <w:jc w:val="center"/>
                    <w:rPr>
                      <w:rFonts w:cs="Times New Roman"/>
                    </w:rPr>
                  </w:pPr>
                  <w:r w:rsidRPr="00A24EE7">
                    <w:rPr>
                      <w:rFonts w:cs="Times New Roman"/>
                    </w:rPr>
                    <w:t>75</w:t>
                  </w:r>
                </w:p>
              </w:tc>
            </w:tr>
            <w:tr w:rsidR="0088275E" w:rsidRPr="00A24EE7" w:rsidTr="007A7E61">
              <w:tc>
                <w:tcPr>
                  <w:tcW w:w="2335" w:type="dxa"/>
                  <w:hideMark/>
                </w:tcPr>
                <w:p w:rsidR="0088275E" w:rsidRPr="00A24EE7" w:rsidRDefault="0088275E" w:rsidP="007A7E61">
                  <w:pPr>
                    <w:spacing w:before="100" w:beforeAutospacing="1" w:after="100" w:afterAutospacing="1"/>
                    <w:rPr>
                      <w:rFonts w:cs="Times New Roman"/>
                    </w:rPr>
                  </w:pPr>
                  <w:proofErr w:type="spellStart"/>
                  <w:r w:rsidRPr="00A24EE7">
                    <w:rPr>
                      <w:rFonts w:cs="Times New Roman"/>
                    </w:rPr>
                    <w:t>Trisodium</w:t>
                  </w:r>
                  <w:proofErr w:type="spellEnd"/>
                  <w:r w:rsidRPr="00A24EE7">
                    <w:rPr>
                      <w:rFonts w:cs="Times New Roman"/>
                    </w:rPr>
                    <w:t xml:space="preserve"> citrate</w:t>
                  </w:r>
                  <w:r>
                    <w:rPr>
                      <w:rFonts w:cs="Times New Roman"/>
                    </w:rPr>
                    <w:t xml:space="preserve"> </w:t>
                  </w:r>
                  <w:proofErr w:type="spellStart"/>
                  <w:r>
                    <w:rPr>
                      <w:rFonts w:cs="Times New Roman"/>
                    </w:rPr>
                    <w:t>digydrate</w:t>
                  </w:r>
                  <w:proofErr w:type="spellEnd"/>
                </w:p>
              </w:tc>
              <w:tc>
                <w:tcPr>
                  <w:tcW w:w="1549" w:type="dxa"/>
                  <w:hideMark/>
                </w:tcPr>
                <w:p w:rsidR="0088275E" w:rsidRPr="00A24EE7" w:rsidRDefault="0088275E" w:rsidP="007A7E61">
                  <w:pPr>
                    <w:spacing w:after="200" w:line="276" w:lineRule="auto"/>
                    <w:jc w:val="center"/>
                    <w:rPr>
                      <w:rFonts w:eastAsia="Times New Roman" w:cs="Times New Roman"/>
                    </w:rPr>
                  </w:pPr>
                  <w:r>
                    <w:rPr>
                      <w:rFonts w:eastAsia="Times New Roman" w:cs="Times New Roman"/>
                    </w:rPr>
                    <w:t>2.9</w:t>
                  </w:r>
                </w:p>
              </w:tc>
              <w:tc>
                <w:tcPr>
                  <w:tcW w:w="0" w:type="auto"/>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rPr>
                    <w:t>Potassium</w:t>
                  </w:r>
                </w:p>
              </w:tc>
              <w:tc>
                <w:tcPr>
                  <w:tcW w:w="0" w:type="auto"/>
                  <w:hideMark/>
                </w:tcPr>
                <w:p w:rsidR="0088275E" w:rsidRPr="00A24EE7" w:rsidRDefault="0088275E" w:rsidP="007A7E61">
                  <w:pPr>
                    <w:spacing w:before="100" w:beforeAutospacing="1" w:after="100" w:afterAutospacing="1" w:line="276" w:lineRule="auto"/>
                    <w:jc w:val="center"/>
                    <w:rPr>
                      <w:rFonts w:cs="Times New Roman"/>
                    </w:rPr>
                  </w:pPr>
                  <w:r w:rsidRPr="00A24EE7">
                    <w:rPr>
                      <w:rFonts w:cs="Times New Roman"/>
                    </w:rPr>
                    <w:t>20</w:t>
                  </w:r>
                </w:p>
              </w:tc>
            </w:tr>
            <w:tr w:rsidR="0088275E" w:rsidRPr="00A24EE7" w:rsidTr="007A7E61">
              <w:tc>
                <w:tcPr>
                  <w:tcW w:w="2335" w:type="dxa"/>
                </w:tcPr>
                <w:p w:rsidR="0088275E" w:rsidRPr="00A24EE7" w:rsidRDefault="0088275E" w:rsidP="007A7E61">
                  <w:pPr>
                    <w:spacing w:before="100" w:beforeAutospacing="1" w:after="100" w:afterAutospacing="1" w:line="276" w:lineRule="auto"/>
                    <w:rPr>
                      <w:rFonts w:cs="Times New Roman"/>
                    </w:rPr>
                  </w:pPr>
                </w:p>
              </w:tc>
              <w:tc>
                <w:tcPr>
                  <w:tcW w:w="1549" w:type="dxa"/>
                </w:tcPr>
                <w:p w:rsidR="0088275E" w:rsidRPr="00A24EE7" w:rsidRDefault="0088275E" w:rsidP="007A7E61">
                  <w:pPr>
                    <w:spacing w:before="100" w:beforeAutospacing="1" w:after="100" w:afterAutospacing="1" w:line="276" w:lineRule="auto"/>
                    <w:jc w:val="center"/>
                    <w:rPr>
                      <w:rFonts w:cs="Times New Roman"/>
                    </w:rPr>
                  </w:pPr>
                </w:p>
              </w:tc>
              <w:tc>
                <w:tcPr>
                  <w:tcW w:w="0" w:type="auto"/>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rPr>
                    <w:t>Citrate</w:t>
                  </w:r>
                </w:p>
              </w:tc>
              <w:tc>
                <w:tcPr>
                  <w:tcW w:w="0" w:type="auto"/>
                  <w:hideMark/>
                </w:tcPr>
                <w:p w:rsidR="0088275E" w:rsidRPr="00A24EE7" w:rsidRDefault="0088275E" w:rsidP="007A7E61">
                  <w:pPr>
                    <w:spacing w:before="100" w:beforeAutospacing="1" w:after="100" w:afterAutospacing="1" w:line="276" w:lineRule="auto"/>
                    <w:jc w:val="center"/>
                    <w:rPr>
                      <w:rFonts w:cs="Times New Roman"/>
                    </w:rPr>
                  </w:pPr>
                  <w:r w:rsidRPr="00A24EE7">
                    <w:rPr>
                      <w:rFonts w:cs="Times New Roman"/>
                    </w:rPr>
                    <w:t>10</w:t>
                  </w:r>
                </w:p>
              </w:tc>
            </w:tr>
            <w:tr w:rsidR="0088275E" w:rsidRPr="00A24EE7" w:rsidTr="007A7E61">
              <w:tc>
                <w:tcPr>
                  <w:tcW w:w="2335" w:type="dxa"/>
                  <w:hideMark/>
                </w:tcPr>
                <w:p w:rsidR="0088275E" w:rsidRPr="00A24EE7" w:rsidRDefault="0088275E" w:rsidP="007A7E61">
                  <w:pPr>
                    <w:spacing w:after="200" w:line="276" w:lineRule="auto"/>
                    <w:rPr>
                      <w:rFonts w:eastAsia="Times New Roman" w:cs="Times New Roman"/>
                    </w:rPr>
                  </w:pPr>
                  <w:r w:rsidRPr="00A24EE7">
                    <w:rPr>
                      <w:rFonts w:eastAsia="Times New Roman" w:cs="Times New Roman"/>
                    </w:rPr>
                    <w:t> </w:t>
                  </w:r>
                </w:p>
              </w:tc>
              <w:tc>
                <w:tcPr>
                  <w:tcW w:w="1549" w:type="dxa"/>
                  <w:hideMark/>
                </w:tcPr>
                <w:p w:rsidR="0088275E" w:rsidRPr="00A24EE7" w:rsidRDefault="0088275E" w:rsidP="007A7E61">
                  <w:pPr>
                    <w:spacing w:after="200" w:line="276" w:lineRule="auto"/>
                    <w:rPr>
                      <w:rFonts w:eastAsia="Times New Roman" w:cs="Times New Roman"/>
                    </w:rPr>
                  </w:pPr>
                  <w:r w:rsidRPr="00A24EE7">
                    <w:rPr>
                      <w:rFonts w:eastAsia="Times New Roman" w:cs="Times New Roman"/>
                    </w:rPr>
                    <w:t> </w:t>
                  </w:r>
                </w:p>
              </w:tc>
              <w:tc>
                <w:tcPr>
                  <w:tcW w:w="0" w:type="auto"/>
                  <w:hideMark/>
                </w:tcPr>
                <w:p w:rsidR="0088275E" w:rsidRPr="00A24EE7" w:rsidRDefault="0088275E" w:rsidP="007A7E61">
                  <w:pPr>
                    <w:spacing w:before="100" w:beforeAutospacing="1" w:after="100" w:afterAutospacing="1" w:line="276" w:lineRule="auto"/>
                    <w:rPr>
                      <w:rFonts w:cs="Times New Roman"/>
                    </w:rPr>
                  </w:pPr>
                  <w:r w:rsidRPr="00A24EE7">
                    <w:rPr>
                      <w:rFonts w:cs="Times New Roman"/>
                      <w:b/>
                      <w:bCs/>
                    </w:rPr>
                    <w:t xml:space="preserve">Total </w:t>
                  </w:r>
                  <w:proofErr w:type="spellStart"/>
                  <w:r w:rsidRPr="00A24EE7">
                    <w:rPr>
                      <w:rFonts w:cs="Times New Roman"/>
                      <w:b/>
                      <w:bCs/>
                    </w:rPr>
                    <w:t>Osmolarity</w:t>
                  </w:r>
                  <w:proofErr w:type="spellEnd"/>
                </w:p>
              </w:tc>
              <w:tc>
                <w:tcPr>
                  <w:tcW w:w="0" w:type="auto"/>
                  <w:hideMark/>
                </w:tcPr>
                <w:p w:rsidR="0088275E" w:rsidRPr="00A24EE7" w:rsidRDefault="0088275E" w:rsidP="007A7E61">
                  <w:pPr>
                    <w:spacing w:before="100" w:beforeAutospacing="1" w:after="100" w:afterAutospacing="1" w:line="276" w:lineRule="auto"/>
                    <w:jc w:val="center"/>
                    <w:rPr>
                      <w:rFonts w:cs="Times New Roman"/>
                    </w:rPr>
                  </w:pPr>
                  <w:r w:rsidRPr="00A24EE7">
                    <w:rPr>
                      <w:rFonts w:cs="Times New Roman"/>
                      <w:b/>
                      <w:bCs/>
                    </w:rPr>
                    <w:t>245</w:t>
                  </w:r>
                </w:p>
              </w:tc>
            </w:tr>
          </w:tbl>
          <w:p w:rsidR="0088275E" w:rsidRDefault="0088275E" w:rsidP="007A7E61">
            <w:pPr>
              <w:spacing w:after="200" w:line="276" w:lineRule="auto"/>
              <w:ind w:left="720"/>
              <w:rPr>
                <w:i/>
              </w:rPr>
            </w:pPr>
          </w:p>
          <w:p w:rsidR="0088275E" w:rsidRDefault="0088275E" w:rsidP="007A7E61">
            <w:pPr>
              <w:spacing w:after="200" w:line="276" w:lineRule="auto"/>
              <w:ind w:left="720"/>
              <w:rPr>
                <w:i/>
              </w:rPr>
            </w:pPr>
          </w:p>
          <w:p w:rsidR="0088275E" w:rsidRDefault="0088275E" w:rsidP="007A7E61">
            <w:pPr>
              <w:spacing w:after="200" w:line="276" w:lineRule="auto"/>
              <w:ind w:left="720"/>
              <w:rPr>
                <w:i/>
              </w:rPr>
            </w:pPr>
          </w:p>
          <w:p w:rsidR="0088275E" w:rsidRDefault="0088275E" w:rsidP="007A7E61">
            <w:pPr>
              <w:spacing w:after="200" w:line="276" w:lineRule="auto"/>
              <w:ind w:left="720"/>
              <w:rPr>
                <w:i/>
              </w:rPr>
            </w:pPr>
          </w:p>
          <w:p w:rsidR="0088275E" w:rsidRDefault="0088275E" w:rsidP="007A7E61">
            <w:pPr>
              <w:spacing w:after="200" w:line="276" w:lineRule="auto"/>
              <w:ind w:left="720"/>
              <w:rPr>
                <w:i/>
              </w:rPr>
            </w:pPr>
          </w:p>
          <w:p w:rsidR="0088275E" w:rsidRDefault="0088275E" w:rsidP="007A7E61">
            <w:pPr>
              <w:spacing w:after="200" w:line="276" w:lineRule="auto"/>
              <w:ind w:left="720"/>
              <w:rPr>
                <w:i/>
              </w:rPr>
            </w:pPr>
          </w:p>
          <w:p w:rsidR="0088275E" w:rsidRDefault="0088275E" w:rsidP="007A7E61">
            <w:pPr>
              <w:spacing w:after="200" w:line="276" w:lineRule="auto"/>
              <w:ind w:left="720"/>
              <w:rPr>
                <w:i/>
              </w:rPr>
            </w:pPr>
          </w:p>
          <w:p w:rsidR="0088275E" w:rsidRPr="00C94252" w:rsidRDefault="0088275E" w:rsidP="007A7E61">
            <w:pPr>
              <w:spacing w:after="200" w:line="276" w:lineRule="auto"/>
              <w:ind w:left="720"/>
              <w:rPr>
                <w:i/>
              </w:rPr>
            </w:pPr>
            <w:r w:rsidRPr="00C94252">
              <w:rPr>
                <w:i/>
              </w:rPr>
              <w:t xml:space="preserve">Dose: </w:t>
            </w:r>
          </w:p>
          <w:p w:rsidR="0088275E" w:rsidRPr="00C94252" w:rsidRDefault="0088275E" w:rsidP="007A7E61">
            <w:pPr>
              <w:spacing w:after="200" w:line="276" w:lineRule="auto"/>
              <w:ind w:left="720"/>
              <w:rPr>
                <w:i/>
              </w:rPr>
            </w:pPr>
            <w:r w:rsidRPr="00C94252">
              <w:rPr>
                <w:i/>
              </w:rPr>
              <w:lastRenderedPageBreak/>
              <w:t xml:space="preserve">- At no signs of dehydration: 50-100 ml (or a quarter to half a large cup of fluid) for children under two years until diarrhea stops; 100-200 ml (one half to one large cup of fluid) for children ages 2-10 years until diarrhea stops.  </w:t>
            </w:r>
          </w:p>
          <w:p w:rsidR="0088275E" w:rsidRPr="00C94252" w:rsidRDefault="0088275E" w:rsidP="007A7E61">
            <w:pPr>
              <w:spacing w:after="200" w:line="276" w:lineRule="auto"/>
              <w:ind w:left="720"/>
              <w:rPr>
                <w:i/>
              </w:rPr>
            </w:pPr>
            <w:r w:rsidRPr="00C94252">
              <w:rPr>
                <w:i/>
              </w:rPr>
              <w:t xml:space="preserve"> - At signs of some dehydration: dosing scheme as indicated in WHO diarrhea treatment guidelines or the amount of the child's weight (kg) multiplied by 75 ml. </w:t>
            </w:r>
            <w:r>
              <w:rPr>
                <w:i/>
              </w:rPr>
              <w:t>(</w:t>
            </w:r>
            <w:r w:rsidRPr="00A827B6">
              <w:rPr>
                <w:i/>
              </w:rPr>
              <w:t>http://www.who.int/maternal_child_adolescent/documents/9241593180/en/index.html</w:t>
            </w:r>
            <w:r>
              <w:rPr>
                <w:i/>
              </w:rPr>
              <w:t>)</w:t>
            </w:r>
          </w:p>
          <w:p w:rsidR="0088275E" w:rsidRPr="00C94252" w:rsidRDefault="0088275E" w:rsidP="007A7E61">
            <w:pPr>
              <w:spacing w:after="200" w:line="276" w:lineRule="auto"/>
              <w:ind w:left="720"/>
              <w:rPr>
                <w:i/>
              </w:rPr>
            </w:pPr>
            <w:r w:rsidRPr="00C94252">
              <w:rPr>
                <w:i/>
              </w:rPr>
              <w:t>Average Cost: Approximately US $0.15 – $0.25 / sachet (price ranges may be even wider depending on the size of the sachet) (Diarrhea &amp; Pneumonia Working Group, 2013)</w:t>
            </w:r>
          </w:p>
          <w:p w:rsidR="0088275E" w:rsidRDefault="0088275E" w:rsidP="007A7E61">
            <w:pPr>
              <w:spacing w:after="200" w:line="276" w:lineRule="auto"/>
              <w:ind w:left="720"/>
              <w:rPr>
                <w:i/>
              </w:rPr>
            </w:pPr>
            <w:r>
              <w:rPr>
                <w:i/>
              </w:rPr>
              <w:t xml:space="preserve">Packaging: </w:t>
            </w:r>
            <w:r w:rsidRPr="00C94252">
              <w:rPr>
                <w:i/>
              </w:rPr>
              <w:t>Airtight packet preferably made of aluminum laminate.</w:t>
            </w:r>
          </w:p>
          <w:p w:rsidR="0088275E" w:rsidRPr="00C94252" w:rsidRDefault="0088275E" w:rsidP="007A7E61">
            <w:pPr>
              <w:spacing w:after="200" w:line="276" w:lineRule="auto"/>
              <w:ind w:left="720"/>
              <w:rPr>
                <w:i/>
              </w:rPr>
            </w:pPr>
            <w:r>
              <w:rPr>
                <w:i/>
              </w:rPr>
              <w:t xml:space="preserve">Manufacturing: </w:t>
            </w:r>
            <w:r w:rsidRPr="00490162">
              <w:rPr>
                <w:rFonts w:cs="Arial"/>
                <w:i/>
                <w:shd w:val="clear" w:color="auto" w:fill="FFFFFF"/>
              </w:rPr>
              <w:t>ORS is manufactured in many countries and is commonly available without a medical prescription.</w:t>
            </w:r>
          </w:p>
          <w:p w:rsidR="0088275E" w:rsidRPr="00A24EE7" w:rsidRDefault="0088275E" w:rsidP="007A7E61">
            <w:pPr>
              <w:spacing w:after="200" w:line="276" w:lineRule="auto"/>
              <w:rPr>
                <w:b/>
              </w:rPr>
            </w:pPr>
            <w:r w:rsidRPr="00A24EE7">
              <w:rPr>
                <w:b/>
              </w:rPr>
              <w:t>Zinc</w:t>
            </w:r>
          </w:p>
          <w:p w:rsidR="0088275E" w:rsidRPr="00C94252" w:rsidRDefault="0088275E" w:rsidP="007A7E61">
            <w:pPr>
              <w:spacing w:after="200" w:line="276" w:lineRule="auto"/>
              <w:ind w:left="720"/>
              <w:rPr>
                <w:i/>
              </w:rPr>
            </w:pPr>
            <w:r w:rsidRPr="00C94252">
              <w:rPr>
                <w:i/>
              </w:rPr>
              <w:t xml:space="preserve">Formulation: 20mg </w:t>
            </w:r>
            <w:proofErr w:type="gramStart"/>
            <w:r w:rsidRPr="00C94252">
              <w:rPr>
                <w:i/>
              </w:rPr>
              <w:t>scored,</w:t>
            </w:r>
            <w:proofErr w:type="gramEnd"/>
            <w:r w:rsidRPr="00C94252">
              <w:rPr>
                <w:i/>
              </w:rPr>
              <w:t xml:space="preserve"> taste-masked, dispersible tablet or oral solutions at concentration of 10mg/5ml.</w:t>
            </w:r>
          </w:p>
          <w:p w:rsidR="0088275E" w:rsidRPr="00C94252" w:rsidRDefault="0088275E" w:rsidP="007A7E61">
            <w:pPr>
              <w:spacing w:after="200" w:line="276" w:lineRule="auto"/>
              <w:ind w:left="720"/>
              <w:rPr>
                <w:i/>
              </w:rPr>
            </w:pPr>
            <w:r w:rsidRPr="00C94252">
              <w:rPr>
                <w:i/>
              </w:rPr>
              <w:t>Dose: 20 mg daily for 10 days (or 10mg daily for 10 days for children under 6 months).</w:t>
            </w:r>
          </w:p>
          <w:p w:rsidR="0088275E" w:rsidRPr="00C94252" w:rsidRDefault="0088275E" w:rsidP="007A7E61">
            <w:pPr>
              <w:spacing w:after="200" w:line="276" w:lineRule="auto"/>
              <w:ind w:left="720"/>
              <w:rPr>
                <w:i/>
              </w:rPr>
            </w:pPr>
            <w:r>
              <w:rPr>
                <w:i/>
              </w:rPr>
              <w:t>Average</w:t>
            </w:r>
            <w:r w:rsidRPr="00C94252">
              <w:rPr>
                <w:i/>
              </w:rPr>
              <w:t xml:space="preserve"> Cost: Approximately US $0.50</w:t>
            </w:r>
            <w:r>
              <w:rPr>
                <w:i/>
              </w:rPr>
              <w:t xml:space="preserve"> per treatment course</w:t>
            </w:r>
            <w:r w:rsidRPr="00C94252">
              <w:rPr>
                <w:i/>
              </w:rPr>
              <w:t xml:space="preserve"> (Diarrhea &amp; Pneumonia Working Group, 2013)</w:t>
            </w:r>
          </w:p>
          <w:p w:rsidR="0088275E" w:rsidRPr="00490162" w:rsidRDefault="0088275E" w:rsidP="007A7E61">
            <w:pPr>
              <w:spacing w:after="200" w:line="276" w:lineRule="auto"/>
              <w:ind w:left="720"/>
              <w:rPr>
                <w:i/>
              </w:rPr>
            </w:pPr>
            <w:r>
              <w:rPr>
                <w:i/>
              </w:rPr>
              <w:t xml:space="preserve">Manufacturing: </w:t>
            </w:r>
            <w:r w:rsidRPr="00490162">
              <w:rPr>
                <w:i/>
              </w:rPr>
              <w:t xml:space="preserve">There are 55 manufacturers of zinc products on the zinc Task Force supply list, but not all meet standards required for international tenders. The majority of manufacturers are in South Asia. </w:t>
            </w:r>
          </w:p>
          <w:p w:rsidR="0088275E" w:rsidRPr="00C94252" w:rsidRDefault="0088275E" w:rsidP="007A7E61">
            <w:pPr>
              <w:spacing w:after="200" w:line="276" w:lineRule="auto"/>
              <w:ind w:left="720"/>
              <w:rPr>
                <w:i/>
              </w:rPr>
            </w:pPr>
            <w:r w:rsidRPr="00C94252">
              <w:rPr>
                <w:i/>
              </w:rPr>
              <w:t>Zinc reduces the severity and the duration of diarrheal episodes and</w:t>
            </w:r>
            <w:r>
              <w:rPr>
                <w:i/>
              </w:rPr>
              <w:t>,</w:t>
            </w:r>
            <w:r w:rsidRPr="00C94252">
              <w:rPr>
                <w:i/>
              </w:rPr>
              <w:t xml:space="preserve"> when given for 10-14 days, reduces the incidence of diarrhea for the following 2-3 months. </w:t>
            </w:r>
          </w:p>
          <w:p w:rsidR="0088275E" w:rsidRDefault="0088275E" w:rsidP="007A7E61">
            <w:pPr>
              <w:spacing w:after="200" w:line="276" w:lineRule="auto"/>
              <w:rPr>
                <w:rFonts w:cs="Arial"/>
                <w:shd w:val="clear" w:color="auto" w:fill="FFFFFF"/>
              </w:rPr>
            </w:pPr>
            <w:r>
              <w:t>(</w:t>
            </w:r>
            <w:r w:rsidRPr="00A24EE7">
              <w:t>Product profiles taken from Every Woman Every Child website</w:t>
            </w:r>
            <w:r>
              <w:t xml:space="preserve">: </w:t>
            </w:r>
            <w:hyperlink r:id="rId7" w:history="1">
              <w:r w:rsidRPr="002C61F7">
                <w:rPr>
                  <w:rStyle w:val="Hyperlink"/>
                  <w:rFonts w:cs="Arial"/>
                  <w:shd w:val="clear" w:color="auto" w:fill="FFFFFF"/>
                </w:rPr>
                <w:t>http://www.everywomaneverychild.org/resources/un-commission-on-life-saving-commodities/life-saving-commodities/oral-rehydration-salts</w:t>
              </w:r>
            </w:hyperlink>
            <w:r>
              <w:rPr>
                <w:rFonts w:cs="Arial"/>
                <w:shd w:val="clear" w:color="auto" w:fill="FFFFFF"/>
              </w:rPr>
              <w:t>)</w:t>
            </w:r>
          </w:p>
          <w:p w:rsidR="0088275E" w:rsidRDefault="0088275E" w:rsidP="007A7E61">
            <w:pPr>
              <w:spacing w:line="276" w:lineRule="auto"/>
              <w:rPr>
                <w:rFonts w:cs="Arial"/>
                <w:shd w:val="clear" w:color="auto" w:fill="FFFFFF"/>
              </w:rPr>
            </w:pPr>
            <w:r>
              <w:t>ORS</w:t>
            </w:r>
            <w:r w:rsidRPr="006E3AA8">
              <w:t xml:space="preserve"> can prevent 93</w:t>
            </w:r>
            <w:r w:rsidRPr="00FF15AD">
              <w:t xml:space="preserve">% </w:t>
            </w:r>
            <w:r w:rsidRPr="00C7022D">
              <w:t xml:space="preserve">of deaths from diarrhea. Zinc can shorten the episode of diarrhea and prevent 23% </w:t>
            </w:r>
            <w:r w:rsidRPr="009272B6">
              <w:t xml:space="preserve">of deaths from </w:t>
            </w:r>
            <w:r w:rsidRPr="00896D38">
              <w:t>diarrhea</w:t>
            </w:r>
            <w:r w:rsidRPr="00483FD9">
              <w:t xml:space="preserve">.  </w:t>
            </w:r>
            <w:r>
              <w:t>Therefore, i</w:t>
            </w:r>
            <w:r w:rsidRPr="00C9227C">
              <w:rPr>
                <w:rFonts w:cs="Arial"/>
                <w:shd w:val="clear" w:color="auto" w:fill="FFFFFF"/>
              </w:rPr>
              <w:t>ncre</w:t>
            </w:r>
            <w:r w:rsidRPr="00B66C28">
              <w:rPr>
                <w:rFonts w:cs="Arial"/>
                <w:shd w:val="clear" w:color="auto" w:fill="FFFFFF"/>
              </w:rPr>
              <w:t>asing access to and use of ORS</w:t>
            </w:r>
            <w:r w:rsidRPr="00645144">
              <w:rPr>
                <w:rFonts w:cs="Arial"/>
                <w:shd w:val="clear" w:color="auto" w:fill="FFFFFF"/>
              </w:rPr>
              <w:t xml:space="preserve"> and zinc will help to achieve </w:t>
            </w:r>
            <w:r>
              <w:rPr>
                <w:rFonts w:cs="Arial"/>
                <w:shd w:val="clear" w:color="auto" w:fill="FFFFFF"/>
              </w:rPr>
              <w:t>MDG</w:t>
            </w:r>
            <w:r w:rsidRPr="00645144">
              <w:rPr>
                <w:rFonts w:cs="Arial"/>
                <w:shd w:val="clear" w:color="auto" w:fill="FFFFFF"/>
              </w:rPr>
              <w:t xml:space="preserve"> 4 of reducing child mortality by two-thirds by 2015 (Zinc Task Force, </w:t>
            </w:r>
            <w:proofErr w:type="spellStart"/>
            <w:r w:rsidRPr="00645144">
              <w:rPr>
                <w:rFonts w:cs="Arial"/>
                <w:shd w:val="clear" w:color="auto" w:fill="FFFFFF"/>
              </w:rPr>
              <w:t>n.d.</w:t>
            </w:r>
            <w:proofErr w:type="spellEnd"/>
            <w:r w:rsidRPr="00645144">
              <w:rPr>
                <w:rFonts w:cs="Arial"/>
                <w:shd w:val="clear" w:color="auto" w:fill="FFFFFF"/>
              </w:rPr>
              <w:t>).</w:t>
            </w:r>
          </w:p>
          <w:p w:rsidR="0088275E" w:rsidRDefault="0088275E" w:rsidP="007A7E61">
            <w:pPr>
              <w:spacing w:line="276" w:lineRule="auto"/>
            </w:pPr>
          </w:p>
          <w:p w:rsidR="0088275E" w:rsidRDefault="0088275E" w:rsidP="007A7E61">
            <w:pPr>
              <w:spacing w:line="276" w:lineRule="auto"/>
              <w:rPr>
                <w:rFonts w:cs="Arial"/>
                <w:shd w:val="clear" w:color="auto" w:fill="FFFFFF"/>
              </w:rPr>
            </w:pPr>
            <w:r w:rsidRPr="00A24EE7">
              <w:rPr>
                <w:rFonts w:cs="Arial"/>
                <w:shd w:val="clear" w:color="auto" w:fill="FFFFFF"/>
              </w:rPr>
              <w:t>ORS is on the WHO model list of essential medicines and is on most countries’ list of e</w:t>
            </w:r>
            <w:r>
              <w:rPr>
                <w:rFonts w:cs="Arial"/>
                <w:shd w:val="clear" w:color="auto" w:fill="FFFFFF"/>
              </w:rPr>
              <w:t xml:space="preserve">ssential medicines (WHO, 2013) and is available in many public and private clinics and shops. </w:t>
            </w:r>
            <w:r w:rsidRPr="00A24EE7">
              <w:rPr>
                <w:rFonts w:cs="Arial"/>
                <w:shd w:val="clear" w:color="auto" w:fill="FFFFFF"/>
              </w:rPr>
              <w:t>However, coverage remains insufficient, especially for the most vulnerable population</w:t>
            </w:r>
            <w:r>
              <w:rPr>
                <w:rFonts w:cs="Arial"/>
                <w:shd w:val="clear" w:color="auto" w:fill="FFFFFF"/>
              </w:rPr>
              <w:t xml:space="preserve">s: rural, lower income people. </w:t>
            </w:r>
            <w:r w:rsidRPr="00A24EE7">
              <w:rPr>
                <w:rFonts w:cs="Arial"/>
                <w:shd w:val="clear" w:color="auto" w:fill="FFFFFF"/>
              </w:rPr>
              <w:t>Only 40% of children receive ORS for the treatment of diarrhea (</w:t>
            </w:r>
            <w:r>
              <w:rPr>
                <w:rFonts w:cs="Arial"/>
                <w:shd w:val="clear" w:color="auto" w:fill="FFFFFF"/>
              </w:rPr>
              <w:t>UNICEF, 2010</w:t>
            </w:r>
            <w:r w:rsidRPr="00A24EE7">
              <w:rPr>
                <w:rFonts w:cs="Arial"/>
                <w:shd w:val="clear" w:color="auto" w:fill="FFFFFF"/>
              </w:rPr>
              <w:t xml:space="preserve">). </w:t>
            </w:r>
          </w:p>
          <w:p w:rsidR="0088275E" w:rsidRDefault="0088275E" w:rsidP="007A7E61">
            <w:pPr>
              <w:spacing w:line="276" w:lineRule="auto"/>
              <w:rPr>
                <w:rFonts w:cs="Arial"/>
                <w:shd w:val="clear" w:color="auto" w:fill="FFFFFF"/>
              </w:rPr>
            </w:pPr>
          </w:p>
          <w:p w:rsidR="0088275E" w:rsidRDefault="0088275E" w:rsidP="007A7E61">
            <w:pPr>
              <w:spacing w:line="276" w:lineRule="auto"/>
            </w:pPr>
            <w:r w:rsidRPr="00483FD9">
              <w:rPr>
                <w:rFonts w:cs="Arial"/>
                <w:shd w:val="clear" w:color="auto" w:fill="FFFFFF"/>
              </w:rPr>
              <w:t>Research and pilot programs have demonstrated effective approaches t</w:t>
            </w:r>
            <w:r w:rsidRPr="00415DE1">
              <w:rPr>
                <w:rFonts w:cs="Arial"/>
                <w:shd w:val="clear" w:color="auto" w:fill="FFFFFF"/>
              </w:rPr>
              <w:t>o scaling-up diarrhea treatment programs, and a growing number of countries are scaling up integrated community case management programs. Yet, these programs require significant systems support in order to reach the majority of children in need. Additional</w:t>
            </w:r>
            <w:r w:rsidRPr="00C9227C">
              <w:rPr>
                <w:rFonts w:cs="Arial"/>
                <w:shd w:val="clear" w:color="auto" w:fill="FFFFFF"/>
              </w:rPr>
              <w:t xml:space="preserve"> attention and investment in comprehensive and ambitious programs can significantly improve access to these simple, low-risk products. </w:t>
            </w:r>
            <w:r w:rsidRPr="00A24EE7">
              <w:rPr>
                <w:rFonts w:cs="Arial"/>
                <w:shd w:val="clear" w:color="auto" w:fill="FFFFFF"/>
              </w:rPr>
              <w:t>Efforts to scale up zinc treatment for di</w:t>
            </w:r>
            <w:r>
              <w:rPr>
                <w:rFonts w:cs="Arial"/>
                <w:shd w:val="clear" w:color="auto" w:fill="FFFFFF"/>
              </w:rPr>
              <w:t>arrhea have had more mixed results and a</w:t>
            </w:r>
            <w:r w:rsidRPr="00A24EE7">
              <w:rPr>
                <w:rFonts w:cs="Arial"/>
                <w:shd w:val="clear" w:color="auto" w:fill="FFFFFF"/>
              </w:rPr>
              <w:t>vailabi</w:t>
            </w:r>
            <w:r>
              <w:rPr>
                <w:rFonts w:cs="Arial"/>
                <w:shd w:val="clear" w:color="auto" w:fill="FFFFFF"/>
              </w:rPr>
              <w:t>lity of zinc remains a problem.</w:t>
            </w:r>
            <w:r w:rsidRPr="00A24EE7">
              <w:t xml:space="preserve"> </w:t>
            </w:r>
            <w:r>
              <w:t xml:space="preserve">However, successful examples are available. For example, </w:t>
            </w:r>
            <w:r w:rsidRPr="00A24EE7">
              <w:t>B</w:t>
            </w:r>
            <w:r w:rsidRPr="00044CF3">
              <w:t>angladesh had success scaling up zinc with a sustained mass media campaign combined with provider training, advocacy and product availability.</w:t>
            </w:r>
            <w:r>
              <w:t xml:space="preserve"> (Global Evidence Review, Diarrhea &amp; Pneumonia Working Group, 2013)</w:t>
            </w:r>
          </w:p>
          <w:p w:rsidR="0088275E" w:rsidRPr="00044CF3" w:rsidRDefault="0088275E" w:rsidP="007A7E61">
            <w:pPr>
              <w:spacing w:line="276" w:lineRule="auto"/>
            </w:pPr>
          </w:p>
          <w:p w:rsidR="0088275E" w:rsidRPr="00044CF3" w:rsidRDefault="0088275E" w:rsidP="007A7E61">
            <w:pPr>
              <w:spacing w:line="276" w:lineRule="auto"/>
              <w:rPr>
                <w:bCs/>
              </w:rPr>
            </w:pPr>
            <w:r w:rsidRPr="00044CF3">
              <w:t xml:space="preserve">Acceptability of the cost of co-packaged ORS and zinc is not yet established. Several </w:t>
            </w:r>
            <w:r>
              <w:t xml:space="preserve">co-packaged </w:t>
            </w:r>
            <w:r w:rsidRPr="00044CF3">
              <w:t xml:space="preserve">products, such as </w:t>
            </w:r>
            <w:proofErr w:type="spellStart"/>
            <w:r w:rsidRPr="00044CF3">
              <w:t>OraselZinc</w:t>
            </w:r>
            <w:proofErr w:type="spellEnd"/>
            <w:r w:rsidRPr="00044CF3">
              <w:t xml:space="preserve"> in Benin and Cambodia, have been successful when widely promoted</w:t>
            </w:r>
            <w:r>
              <w:t>.</w:t>
            </w:r>
            <w:r w:rsidRPr="00044CF3">
              <w:t xml:space="preserve"> </w:t>
            </w:r>
            <w:r>
              <w:t>However, c</w:t>
            </w:r>
            <w:r w:rsidRPr="00044CF3">
              <w:t>o-packaging has additional costs, and co-packaged products have relied on donor support to keep the pri</w:t>
            </w:r>
            <w:r>
              <w:t xml:space="preserve">ces low.  There </w:t>
            </w:r>
            <w:r w:rsidRPr="00044CF3">
              <w:t xml:space="preserve">is a need to </w:t>
            </w:r>
            <w:r>
              <w:t xml:space="preserve">better </w:t>
            </w:r>
            <w:r w:rsidRPr="00044CF3">
              <w:t>understand acceptability and demand for co-</w:t>
            </w:r>
            <w:r>
              <w:t>packaged products</w:t>
            </w:r>
            <w:r w:rsidRPr="00044CF3">
              <w:t>.</w:t>
            </w:r>
          </w:p>
          <w:p w:rsidR="0088275E" w:rsidRDefault="0088275E" w:rsidP="007A7E61">
            <w:pPr>
              <w:spacing w:line="276" w:lineRule="auto"/>
              <w:rPr>
                <w:rFonts w:eastAsia="Cambria" w:cs="Times New Roman"/>
                <w:sz w:val="20"/>
                <w:szCs w:val="20"/>
              </w:rPr>
            </w:pPr>
          </w:p>
        </w:tc>
      </w:tr>
      <w:tr w:rsidR="0088275E" w:rsidRPr="0026285A" w:rsidTr="007A7E61">
        <w:trPr>
          <w:trHeight w:val="576"/>
        </w:trPr>
        <w:tc>
          <w:tcPr>
            <w:tcW w:w="4878" w:type="dxa"/>
            <w:tcBorders>
              <w:right w:val="nil"/>
            </w:tcBorders>
            <w:shd w:val="clear" w:color="auto" w:fill="FFD699"/>
            <w:vAlign w:val="bottom"/>
          </w:tcPr>
          <w:p w:rsidR="0088275E" w:rsidRDefault="0088275E" w:rsidP="007A7E61">
            <w:pPr>
              <w:spacing w:line="276" w:lineRule="auto"/>
              <w:rPr>
                <w:rFonts w:eastAsia="MS Gothic" w:cs="Times New Roman"/>
                <w:b/>
                <w:bCs/>
                <w:color w:val="C00000"/>
              </w:rPr>
            </w:pPr>
          </w:p>
          <w:p w:rsidR="0088275E" w:rsidRDefault="0088275E" w:rsidP="007A7E61">
            <w:pPr>
              <w:spacing w:line="276" w:lineRule="auto"/>
              <w:rPr>
                <w:rFonts w:eastAsia="MS Gothic" w:cs="Times New Roman"/>
                <w:b/>
                <w:bCs/>
                <w:color w:val="C00000"/>
                <w:sz w:val="24"/>
                <w:szCs w:val="24"/>
              </w:rPr>
            </w:pPr>
            <w:r w:rsidRPr="001C099A">
              <w:rPr>
                <w:rFonts w:eastAsia="MS Gothic" w:cs="Times New Roman"/>
                <w:b/>
                <w:bCs/>
                <w:color w:val="C00000"/>
                <w:sz w:val="24"/>
                <w:szCs w:val="24"/>
              </w:rPr>
              <w:t>Audience and Communication Analysis</w:t>
            </w:r>
          </w:p>
          <w:p w:rsidR="0088275E" w:rsidRDefault="0088275E" w:rsidP="007A7E61">
            <w:pPr>
              <w:spacing w:line="276" w:lineRule="auto"/>
              <w:rPr>
                <w:rFonts w:eastAsia="MS Gothic" w:cs="Times New Roman"/>
                <w:b/>
                <w:bCs/>
                <w:color w:val="C00000"/>
              </w:rPr>
            </w:pPr>
          </w:p>
        </w:tc>
        <w:tc>
          <w:tcPr>
            <w:tcW w:w="7830" w:type="dxa"/>
            <w:tcBorders>
              <w:left w:val="nil"/>
            </w:tcBorders>
            <w:shd w:val="clear" w:color="auto" w:fill="FFD699"/>
            <w:vAlign w:val="bottom"/>
          </w:tcPr>
          <w:p w:rsidR="0088275E" w:rsidRDefault="0088275E" w:rsidP="007A7E61">
            <w:pPr>
              <w:spacing w:line="276" w:lineRule="auto"/>
              <w:rPr>
                <w:rFonts w:eastAsia="MS Gothic" w:cs="Times New Roman"/>
                <w:b/>
                <w:bCs/>
                <w:i/>
                <w:color w:val="4F81BD"/>
                <w:sz w:val="20"/>
                <w:szCs w:val="20"/>
              </w:rPr>
            </w:pPr>
          </w:p>
        </w:tc>
      </w:tr>
      <w:tr w:rsidR="0088275E" w:rsidRPr="0026285A" w:rsidTr="007A7E61">
        <w:tc>
          <w:tcPr>
            <w:tcW w:w="12708" w:type="dxa"/>
            <w:gridSpan w:val="2"/>
            <w:tcBorders>
              <w:bottom w:val="single" w:sz="4" w:space="0" w:color="auto"/>
            </w:tcBorders>
          </w:tcPr>
          <w:p w:rsidR="0088275E" w:rsidRPr="00A24EE7" w:rsidRDefault="0088275E" w:rsidP="007A7E61">
            <w:pPr>
              <w:spacing w:after="200" w:line="276" w:lineRule="auto"/>
            </w:pPr>
            <w:r w:rsidRPr="00A24EE7">
              <w:t xml:space="preserve">Many factors determine the health situation of communities and individuals, including where people live, levels of income, social status and education, and access to health care.  To have a positive impact, demand generation efforts must promote factors that facilitate demand and use of ORS and </w:t>
            </w:r>
            <w:r>
              <w:t>z</w:t>
            </w:r>
            <w:r w:rsidRPr="00A24EE7">
              <w:t xml:space="preserve">inc, while assisting the intended audiences to overcome barriers. </w:t>
            </w:r>
          </w:p>
          <w:p w:rsidR="0088275E" w:rsidRPr="00A24EE7" w:rsidRDefault="0088275E" w:rsidP="007A7E61">
            <w:pPr>
              <w:spacing w:after="200" w:line="276" w:lineRule="auto"/>
            </w:pPr>
            <w:r w:rsidRPr="00A24EE7">
              <w:t>A review of global evidence on ORS and zinc found 108 documents that specifically addressed communication and demand generation initiatives, of which 42 were peer-reviewed</w:t>
            </w:r>
            <w:r>
              <w:t xml:space="preserve"> </w:t>
            </w:r>
            <w:r w:rsidRPr="0026285A">
              <w:rPr>
                <w:rFonts w:eastAsia="Times New Roman"/>
              </w:rPr>
              <w:t>(Health Communicatio</w:t>
            </w:r>
            <w:r>
              <w:rPr>
                <w:rFonts w:eastAsia="Times New Roman"/>
              </w:rPr>
              <w:t>n Capacity Collaborative, 2013)</w:t>
            </w:r>
            <w:r w:rsidRPr="00A24EE7">
              <w:t xml:space="preserve">. Sixty-six documents focused on Africa (12 were from Kenya and 17 from Nigeria); 38 documents focused on Asia (18 were from India and 10 from Bangladesh); two documents were from Latin America and the Caribbean; one document was from the Middle East; and three documents were regional or global studies. </w:t>
            </w:r>
          </w:p>
          <w:p w:rsidR="0088275E" w:rsidRPr="00A24EE7" w:rsidRDefault="0088275E" w:rsidP="007A7E61">
            <w:pPr>
              <w:spacing w:after="200" w:line="276" w:lineRule="auto"/>
              <w:rPr>
                <w:bCs/>
                <w:iCs/>
              </w:rPr>
            </w:pPr>
            <w:r w:rsidRPr="00A24EE7">
              <w:rPr>
                <w:bCs/>
                <w:iCs/>
              </w:rPr>
              <w:lastRenderedPageBreak/>
              <w:t xml:space="preserve">The literature identified the following </w:t>
            </w:r>
            <w:r w:rsidRPr="00A24EE7">
              <w:rPr>
                <w:b/>
                <w:bCs/>
                <w:iCs/>
              </w:rPr>
              <w:t xml:space="preserve">key facilitators </w:t>
            </w:r>
            <w:r>
              <w:rPr>
                <w:bCs/>
                <w:iCs/>
              </w:rPr>
              <w:t xml:space="preserve">for ORS and </w:t>
            </w:r>
            <w:r w:rsidRPr="00A24EE7">
              <w:rPr>
                <w:bCs/>
                <w:iCs/>
              </w:rPr>
              <w:t>zinc demand and utilization:</w:t>
            </w:r>
          </w:p>
          <w:p w:rsidR="0088275E" w:rsidRPr="00A24EE7" w:rsidRDefault="0088275E" w:rsidP="007A7E61">
            <w:pPr>
              <w:spacing w:after="200" w:line="276" w:lineRule="auto"/>
              <w:rPr>
                <w:rFonts w:eastAsia="Times New Roman"/>
              </w:rPr>
            </w:pPr>
            <w:r w:rsidRPr="00A24EE7">
              <w:rPr>
                <w:rFonts w:eastAsia="Times New Roman"/>
                <w:b/>
              </w:rPr>
              <w:t>Supportive Policy Environment</w:t>
            </w:r>
            <w:r w:rsidRPr="00A24EE7">
              <w:rPr>
                <w:rFonts w:eastAsia="Times New Roman"/>
              </w:rPr>
              <w:t xml:space="preserve">: </w:t>
            </w:r>
            <w:r w:rsidRPr="00A24EE7">
              <w:t>At the society level, a range of factors have been identified as key facilitating factors in successful demand generation for ORS and zinc. These include a supportive national and international political environment, in-country manufacturing, and respected project leadership (BMGF, various).</w:t>
            </w:r>
          </w:p>
          <w:p w:rsidR="0088275E" w:rsidRPr="00A83623" w:rsidRDefault="0088275E" w:rsidP="007A7E61">
            <w:pPr>
              <w:spacing w:after="200" w:line="276" w:lineRule="auto"/>
            </w:pPr>
            <w:r w:rsidRPr="00A24EE7">
              <w:rPr>
                <w:bCs/>
                <w:iCs/>
              </w:rPr>
              <w:t xml:space="preserve">The literature identified the following </w:t>
            </w:r>
            <w:r w:rsidRPr="00A24EE7">
              <w:rPr>
                <w:b/>
                <w:bCs/>
                <w:iCs/>
              </w:rPr>
              <w:t>key barriers</w:t>
            </w:r>
            <w:r>
              <w:rPr>
                <w:bCs/>
                <w:iCs/>
              </w:rPr>
              <w:t xml:space="preserve"> to ORS and z</w:t>
            </w:r>
            <w:r w:rsidRPr="00A24EE7">
              <w:rPr>
                <w:bCs/>
                <w:iCs/>
              </w:rPr>
              <w:t xml:space="preserve">inc demand and utilization: </w:t>
            </w:r>
          </w:p>
          <w:p w:rsidR="0088275E" w:rsidRDefault="0088275E" w:rsidP="007A7E61">
            <w:pPr>
              <w:spacing w:line="276" w:lineRule="auto"/>
            </w:pPr>
            <w:r w:rsidRPr="000B3BA3">
              <w:rPr>
                <w:b/>
                <w:bCs/>
                <w:iCs/>
              </w:rPr>
              <w:t xml:space="preserve">Perceived threat of </w:t>
            </w:r>
            <w:r w:rsidRPr="00797EA4">
              <w:rPr>
                <w:b/>
                <w:bCs/>
                <w:iCs/>
              </w:rPr>
              <w:t>d</w:t>
            </w:r>
            <w:r w:rsidRPr="00F0627D">
              <w:rPr>
                <w:b/>
                <w:bCs/>
                <w:iCs/>
              </w:rPr>
              <w:t>iarrhea</w:t>
            </w:r>
            <w:r w:rsidRPr="00F06949">
              <w:rPr>
                <w:b/>
                <w:bCs/>
                <w:iCs/>
              </w:rPr>
              <w:t xml:space="preserve">: </w:t>
            </w:r>
            <w:r w:rsidRPr="00C54D99">
              <w:t>In many contexts, the perceived threat of diarrhea is low, leading to limited uptake of appropriate treatments. Diarrhea may be pe</w:t>
            </w:r>
            <w:r w:rsidRPr="00410BFE">
              <w:t xml:space="preserve">rceived as a common, non-threatening condition, and caregivers lack knowledge about the potential dangers (CHAI, 2011; </w:t>
            </w:r>
            <w:proofErr w:type="spellStart"/>
            <w:r w:rsidRPr="00410BFE">
              <w:t>Ipsos</w:t>
            </w:r>
            <w:proofErr w:type="spellEnd"/>
            <w:r w:rsidRPr="00410BFE">
              <w:t xml:space="preserve">, 2012; Tapa &amp; </w:t>
            </w:r>
            <w:proofErr w:type="spellStart"/>
            <w:r w:rsidRPr="00410BFE">
              <w:t>Chepngeno</w:t>
            </w:r>
            <w:proofErr w:type="spellEnd"/>
            <w:r w:rsidRPr="00410BFE">
              <w:t>, 2005; Ellis et al., 2006). Consequently, care-seeking for diarrhea is delayed until the presentation of se</w:t>
            </w:r>
            <w:r w:rsidRPr="0082740C">
              <w:t xml:space="preserve">vere or life-threatening symptoms. </w:t>
            </w:r>
          </w:p>
          <w:p w:rsidR="0088275E" w:rsidRPr="00002002" w:rsidRDefault="0088275E" w:rsidP="007A7E61">
            <w:pPr>
              <w:spacing w:line="276" w:lineRule="auto"/>
            </w:pPr>
          </w:p>
          <w:p w:rsidR="0088275E" w:rsidRPr="007A1EAC" w:rsidRDefault="0088275E" w:rsidP="007A7E61">
            <w:pPr>
              <w:spacing w:line="276" w:lineRule="auto"/>
            </w:pPr>
            <w:r w:rsidRPr="00A24EE7">
              <w:rPr>
                <w:b/>
                <w:bCs/>
                <w:iCs/>
              </w:rPr>
              <w:t xml:space="preserve">Knowledge of most effective treatment: </w:t>
            </w:r>
            <w:r w:rsidRPr="00A24EE7">
              <w:t>Knowledge gaps among healthcare providers in the public and private sectors on the pathology of childhood diarrhea and the most effective treatments, especially ORS</w:t>
            </w:r>
            <w:r>
              <w:t xml:space="preserve"> and zinc</w:t>
            </w:r>
            <w:r w:rsidRPr="00A24EE7">
              <w:t>, were found in many countries. In Nigeria, knowledge among private patent medicine vendors (PMVs) of causes, signs, and effects of diarrhea was good</w:t>
            </w:r>
            <w:r w:rsidRPr="006519B6">
              <w:t xml:space="preserve">, </w:t>
            </w:r>
            <w:r w:rsidRPr="00A24EE7">
              <w:t>but PMVs</w:t>
            </w:r>
            <w:r>
              <w:t>’</w:t>
            </w:r>
            <w:r w:rsidRPr="00A24EE7">
              <w:t xml:space="preserve"> knowledge of </w:t>
            </w:r>
            <w:r>
              <w:t>treatment</w:t>
            </w:r>
            <w:r w:rsidRPr="00A24EE7">
              <w:t xml:space="preserve"> of diarrhea among children was poor</w:t>
            </w:r>
            <w:r w:rsidRPr="00666B67">
              <w:t xml:space="preserve"> (</w:t>
            </w:r>
            <w:proofErr w:type="spellStart"/>
            <w:r w:rsidRPr="00666B67">
              <w:t>Aguwa</w:t>
            </w:r>
            <w:proofErr w:type="spellEnd"/>
            <w:r w:rsidRPr="00666B67">
              <w:t xml:space="preserve"> et al, 2010; CHAI, 2011). This is a major gap g</w:t>
            </w:r>
            <w:r w:rsidRPr="00A37787">
              <w:t xml:space="preserve">iven that caregivers in Nigeria often seek care from drug vendors and private clinics for diarrhea treatment. </w:t>
            </w:r>
            <w:r w:rsidRPr="00A83AA0">
              <w:t xml:space="preserve">Globally, caregivers’ </w:t>
            </w:r>
            <w:r w:rsidRPr="005B6D30">
              <w:t>knowledge about ORS is higher than for zinc</w:t>
            </w:r>
            <w:r w:rsidRPr="001E18F1">
              <w:t xml:space="preserve"> which programmers report is due to a lack of dem</w:t>
            </w:r>
            <w:r>
              <w:t>and generation efforts for zinc</w:t>
            </w:r>
            <w:r w:rsidRPr="00536407">
              <w:t xml:space="preserve"> (Shah et al., 2012; CHAI, 2012; among others). </w:t>
            </w:r>
          </w:p>
          <w:p w:rsidR="0088275E" w:rsidRPr="00D537EB" w:rsidRDefault="0088275E" w:rsidP="007A7E61">
            <w:pPr>
              <w:spacing w:line="276" w:lineRule="auto"/>
              <w:rPr>
                <w:bCs/>
                <w:iCs/>
              </w:rPr>
            </w:pPr>
          </w:p>
          <w:p w:rsidR="0088275E" w:rsidRPr="00625505" w:rsidRDefault="0088275E" w:rsidP="007A7E61">
            <w:pPr>
              <w:pStyle w:val="CommentText"/>
              <w:spacing w:line="276" w:lineRule="auto"/>
              <w:rPr>
                <w:sz w:val="22"/>
                <w:szCs w:val="22"/>
              </w:rPr>
            </w:pPr>
            <w:r>
              <w:rPr>
                <w:b/>
                <w:bCs/>
                <w:iCs/>
                <w:sz w:val="22"/>
                <w:szCs w:val="22"/>
              </w:rPr>
              <w:t>Perceived effectiveness of ORS and z</w:t>
            </w:r>
            <w:r w:rsidRPr="00951F90">
              <w:rPr>
                <w:b/>
                <w:bCs/>
                <w:iCs/>
                <w:sz w:val="22"/>
                <w:szCs w:val="22"/>
              </w:rPr>
              <w:t>inc</w:t>
            </w:r>
            <w:r w:rsidRPr="00F535FF">
              <w:rPr>
                <w:b/>
                <w:bCs/>
                <w:iCs/>
                <w:sz w:val="22"/>
                <w:szCs w:val="22"/>
              </w:rPr>
              <w:t>:</w:t>
            </w:r>
            <w:r w:rsidRPr="00B139C6">
              <w:rPr>
                <w:bCs/>
                <w:iCs/>
                <w:sz w:val="22"/>
                <w:szCs w:val="22"/>
              </w:rPr>
              <w:t xml:space="preserve"> </w:t>
            </w:r>
            <w:r w:rsidRPr="00B34995">
              <w:rPr>
                <w:sz w:val="22"/>
                <w:szCs w:val="22"/>
              </w:rPr>
              <w:t>Perceived effectiveness of ORS and zinc is also a factor in demand for the products, even when awareness is high. ORS may be perceived as weak or ineffective, possibly because of mis</w:t>
            </w:r>
            <w:r w:rsidRPr="00B6197C">
              <w:rPr>
                <w:sz w:val="22"/>
                <w:szCs w:val="22"/>
              </w:rPr>
              <w:t>perceptions about the purpose of ORS to avert dehydration rather than to stop diarrhea (CHAI, 2011). Even when caregivers do understand that ORS replaces fluid, caregivers may also feel the need to give “medicine” for diarrhea and thus seek and use additio</w:t>
            </w:r>
            <w:r w:rsidRPr="003C2647">
              <w:rPr>
                <w:sz w:val="22"/>
                <w:szCs w:val="22"/>
              </w:rPr>
              <w:t>nal treatment that they believe will have a curative effect, such as anti-</w:t>
            </w:r>
            <w:proofErr w:type="spellStart"/>
            <w:r w:rsidRPr="003C2647">
              <w:rPr>
                <w:sz w:val="22"/>
                <w:szCs w:val="22"/>
              </w:rPr>
              <w:t>diarrheals</w:t>
            </w:r>
            <w:proofErr w:type="spellEnd"/>
            <w:r w:rsidRPr="003C2647">
              <w:rPr>
                <w:sz w:val="22"/>
                <w:szCs w:val="22"/>
              </w:rPr>
              <w:t xml:space="preserve"> or antibiotics (</w:t>
            </w:r>
            <w:proofErr w:type="spellStart"/>
            <w:r w:rsidRPr="003C2647">
              <w:rPr>
                <w:sz w:val="22"/>
                <w:szCs w:val="22"/>
              </w:rPr>
              <w:t>Uchendu</w:t>
            </w:r>
            <w:proofErr w:type="spellEnd"/>
            <w:r w:rsidRPr="003C2647">
              <w:rPr>
                <w:sz w:val="22"/>
                <w:szCs w:val="22"/>
              </w:rPr>
              <w:t xml:space="preserve"> et al, 2009; Ellis et al., 2006). Poor perceptions of ORS and/or zinc effectiveness may also lead providers to co-prescribe ORS and/or zinc with in</w:t>
            </w:r>
            <w:r w:rsidRPr="00625505">
              <w:rPr>
                <w:sz w:val="22"/>
                <w:szCs w:val="22"/>
              </w:rPr>
              <w:t xml:space="preserve">effective treatments (Sanders, 2012; </w:t>
            </w:r>
            <w:proofErr w:type="spellStart"/>
            <w:r w:rsidRPr="00625505">
              <w:rPr>
                <w:sz w:val="22"/>
                <w:szCs w:val="22"/>
              </w:rPr>
              <w:t>Borapich</w:t>
            </w:r>
            <w:proofErr w:type="spellEnd"/>
            <w:r w:rsidRPr="00625505">
              <w:rPr>
                <w:sz w:val="22"/>
                <w:szCs w:val="22"/>
              </w:rPr>
              <w:t xml:space="preserve"> &amp;</w:t>
            </w:r>
            <w:r>
              <w:rPr>
                <w:sz w:val="22"/>
                <w:szCs w:val="22"/>
              </w:rPr>
              <w:t xml:space="preserve"> </w:t>
            </w:r>
            <w:proofErr w:type="spellStart"/>
            <w:r>
              <w:rPr>
                <w:sz w:val="22"/>
                <w:szCs w:val="22"/>
              </w:rPr>
              <w:t>Warsh</w:t>
            </w:r>
            <w:proofErr w:type="spellEnd"/>
            <w:r>
              <w:rPr>
                <w:sz w:val="22"/>
                <w:szCs w:val="22"/>
              </w:rPr>
              <w:t>, 2010; Shah et al., 2012</w:t>
            </w:r>
            <w:r w:rsidRPr="00625505">
              <w:rPr>
                <w:sz w:val="22"/>
                <w:szCs w:val="22"/>
              </w:rPr>
              <w:t xml:space="preserve">). </w:t>
            </w:r>
          </w:p>
          <w:p w:rsidR="0088275E" w:rsidRPr="00C62797" w:rsidRDefault="0088275E" w:rsidP="007A7E61">
            <w:pPr>
              <w:pStyle w:val="CommentText"/>
              <w:spacing w:line="276" w:lineRule="auto"/>
              <w:rPr>
                <w:sz w:val="22"/>
                <w:szCs w:val="22"/>
              </w:rPr>
            </w:pPr>
          </w:p>
          <w:p w:rsidR="0088275E" w:rsidRDefault="0088275E" w:rsidP="007A7E61">
            <w:pPr>
              <w:spacing w:line="276" w:lineRule="auto"/>
            </w:pPr>
            <w:r w:rsidRPr="00481F7D">
              <w:rPr>
                <w:b/>
              </w:rPr>
              <w:t xml:space="preserve">Access to </w:t>
            </w:r>
            <w:r w:rsidRPr="00A71E45">
              <w:rPr>
                <w:b/>
              </w:rPr>
              <w:t>c</w:t>
            </w:r>
            <w:r w:rsidRPr="00DD117F">
              <w:rPr>
                <w:b/>
              </w:rPr>
              <w:t>ommodities:</w:t>
            </w:r>
            <w:r w:rsidRPr="00F4646F">
              <w:t xml:space="preserve"> Problems with equitable access to commodities and services are also a factor in demand and utilization of ORS and zinc. These include hig</w:t>
            </w:r>
            <w:r w:rsidRPr="002E64F3">
              <w:t xml:space="preserve">h costs, long distances to health facilities, and perceived attitudes of health workers, highlighting the importance of </w:t>
            </w:r>
            <w:r w:rsidRPr="002E64F3">
              <w:lastRenderedPageBreak/>
              <w:t xml:space="preserve">harmonized access </w:t>
            </w:r>
            <w:r w:rsidRPr="003E38E5">
              <w:t xml:space="preserve">and demand activities (PSI/Mali, 2009; </w:t>
            </w:r>
            <w:proofErr w:type="spellStart"/>
            <w:r w:rsidRPr="003E38E5">
              <w:t>Mbonye</w:t>
            </w:r>
            <w:proofErr w:type="spellEnd"/>
            <w:r w:rsidRPr="003E38E5">
              <w:t xml:space="preserve">, 2003; </w:t>
            </w:r>
            <w:proofErr w:type="spellStart"/>
            <w:r w:rsidRPr="003E38E5">
              <w:t>Opwora</w:t>
            </w:r>
            <w:proofErr w:type="spellEnd"/>
            <w:r w:rsidRPr="003E38E5">
              <w:t xml:space="preserve"> et al, 2011). In Nepal, product availa</w:t>
            </w:r>
            <w:r w:rsidRPr="0058280E">
              <w:t>bility was found to be one of the most reliable and valid determinants of zinc usage (PSI/Nepal, 2008).</w:t>
            </w:r>
          </w:p>
          <w:p w:rsidR="0088275E" w:rsidRDefault="0088275E" w:rsidP="007A7E61"/>
        </w:tc>
      </w:tr>
    </w:tbl>
    <w:p w:rsidR="0088275E" w:rsidRDefault="0088275E" w:rsidP="0088275E"/>
    <w:p w:rsidR="0088275E" w:rsidRPr="00BC67E8" w:rsidRDefault="0088275E" w:rsidP="0088275E">
      <w:pPr>
        <w:rPr>
          <w:b/>
        </w:rPr>
      </w:pPr>
      <w:r w:rsidRPr="00BC67E8">
        <w:rPr>
          <w:b/>
        </w:rPr>
        <w:t>Example of Table to Organize Key Information</w:t>
      </w:r>
    </w:p>
    <w:tbl>
      <w:tblPr>
        <w:tblStyle w:val="TableGrid"/>
        <w:tblW w:w="0" w:type="auto"/>
        <w:tblLook w:val="04A0" w:firstRow="1" w:lastRow="0" w:firstColumn="1" w:lastColumn="0" w:noHBand="0" w:noVBand="1"/>
      </w:tblPr>
      <w:tblGrid>
        <w:gridCol w:w="2849"/>
        <w:gridCol w:w="3469"/>
        <w:gridCol w:w="3119"/>
        <w:gridCol w:w="3120"/>
      </w:tblGrid>
      <w:tr w:rsidR="0088275E" w:rsidRPr="00BC67E8" w:rsidTr="007A7E61">
        <w:tc>
          <w:tcPr>
            <w:tcW w:w="2849" w:type="dxa"/>
          </w:tcPr>
          <w:p w:rsidR="0088275E" w:rsidRPr="00BC67E8" w:rsidRDefault="0088275E" w:rsidP="007A7E61">
            <w:pPr>
              <w:rPr>
                <w:b/>
                <w:bCs/>
              </w:rPr>
            </w:pPr>
          </w:p>
        </w:tc>
        <w:tc>
          <w:tcPr>
            <w:tcW w:w="3469" w:type="dxa"/>
          </w:tcPr>
          <w:p w:rsidR="0088275E" w:rsidRPr="00BC67E8" w:rsidRDefault="0088275E" w:rsidP="007A7E61">
            <w:pPr>
              <w:rPr>
                <w:b/>
                <w:bCs/>
              </w:rPr>
            </w:pPr>
            <w:r w:rsidRPr="00BC67E8">
              <w:rPr>
                <w:b/>
                <w:bCs/>
              </w:rPr>
              <w:t>Current Behaviors</w:t>
            </w:r>
          </w:p>
        </w:tc>
        <w:tc>
          <w:tcPr>
            <w:tcW w:w="3119" w:type="dxa"/>
          </w:tcPr>
          <w:p w:rsidR="0088275E" w:rsidRPr="00BC67E8" w:rsidRDefault="0088275E" w:rsidP="007A7E61">
            <w:pPr>
              <w:rPr>
                <w:b/>
                <w:bCs/>
              </w:rPr>
            </w:pPr>
            <w:r w:rsidRPr="00BC67E8">
              <w:rPr>
                <w:b/>
                <w:bCs/>
              </w:rPr>
              <w:t>Primary Barriers to Desired Behavior</w:t>
            </w:r>
          </w:p>
        </w:tc>
        <w:tc>
          <w:tcPr>
            <w:tcW w:w="3120" w:type="dxa"/>
          </w:tcPr>
          <w:p w:rsidR="0088275E" w:rsidRPr="00BC67E8" w:rsidRDefault="0088275E" w:rsidP="007A7E61">
            <w:pPr>
              <w:rPr>
                <w:b/>
                <w:bCs/>
              </w:rPr>
            </w:pPr>
            <w:r w:rsidRPr="00BC67E8">
              <w:rPr>
                <w:b/>
                <w:bCs/>
              </w:rPr>
              <w:t>Primary Benefits of Desired Behavior</w:t>
            </w:r>
          </w:p>
        </w:tc>
      </w:tr>
      <w:tr w:rsidR="0088275E" w:rsidTr="007A7E61">
        <w:trPr>
          <w:trHeight w:val="3338"/>
        </w:trPr>
        <w:tc>
          <w:tcPr>
            <w:tcW w:w="2849" w:type="dxa"/>
          </w:tcPr>
          <w:p w:rsidR="0088275E" w:rsidRPr="00BC67E8" w:rsidRDefault="0088275E" w:rsidP="007A7E61">
            <w:pPr>
              <w:rPr>
                <w:b/>
                <w:bCs/>
              </w:rPr>
            </w:pPr>
            <w:r w:rsidRPr="00BC67E8">
              <w:rPr>
                <w:b/>
                <w:bCs/>
              </w:rPr>
              <w:t>End-user/community members (e.g. caregivers</w:t>
            </w:r>
            <w:r>
              <w:rPr>
                <w:b/>
                <w:bCs/>
              </w:rPr>
              <w:t xml:space="preserve"> of children under five</w:t>
            </w:r>
            <w:r w:rsidRPr="00BC67E8">
              <w:rPr>
                <w:b/>
                <w:bCs/>
              </w:rPr>
              <w:t>)</w:t>
            </w:r>
          </w:p>
        </w:tc>
        <w:tc>
          <w:tcPr>
            <w:tcW w:w="3469" w:type="dxa"/>
          </w:tcPr>
          <w:p w:rsidR="0088275E" w:rsidRDefault="0088275E" w:rsidP="007A7E61">
            <w:r>
              <w:t>Annually</w:t>
            </w:r>
            <w:r w:rsidRPr="00C603AB">
              <w:t>, 2.5 million cases of diarrhea occur in children</w:t>
            </w:r>
            <w:r>
              <w:t xml:space="preserve"> around the </w:t>
            </w:r>
            <w:proofErr w:type="gramStart"/>
            <w:r>
              <w:t>world</w:t>
            </w:r>
            <w:r w:rsidRPr="00C603AB">
              <w:t>,</w:t>
            </w:r>
            <w:proofErr w:type="gramEnd"/>
            <w:r w:rsidRPr="00C603AB">
              <w:t xml:space="preserve"> and children 24 months or younger are at the greatest risk </w:t>
            </w:r>
            <w:r>
              <w:t xml:space="preserve">of death from diarrheal disease. </w:t>
            </w:r>
          </w:p>
          <w:p w:rsidR="0088275E" w:rsidRDefault="0088275E" w:rsidP="007A7E61"/>
          <w:p w:rsidR="0088275E" w:rsidRDefault="0088275E" w:rsidP="007A7E61">
            <w:r w:rsidRPr="00C603AB">
              <w:t xml:space="preserve">Diarrheal diseases cause approximately 11% of deaths among children under </w:t>
            </w:r>
            <w:r>
              <w:t>five</w:t>
            </w:r>
            <w:r w:rsidRPr="00C603AB">
              <w:t xml:space="preserve"> worldwide, or 0.7 million deaths in 2011, mostly in developing countries.</w:t>
            </w:r>
          </w:p>
          <w:p w:rsidR="0088275E" w:rsidRDefault="0088275E" w:rsidP="007A7E61"/>
          <w:p w:rsidR="0088275E" w:rsidRDefault="0088275E" w:rsidP="007A7E61">
            <w:r>
              <w:rPr>
                <w:rFonts w:cs="Arial"/>
                <w:shd w:val="clear" w:color="auto" w:fill="FFFFFF"/>
              </w:rPr>
              <w:t xml:space="preserve">However, </w:t>
            </w:r>
            <w:r w:rsidRPr="005B6D30">
              <w:rPr>
                <w:rFonts w:cs="Arial"/>
                <w:shd w:val="clear" w:color="auto" w:fill="FFFFFF"/>
              </w:rPr>
              <w:t>only 38% of children receive ORS</w:t>
            </w:r>
            <w:r w:rsidRPr="001E18F1">
              <w:rPr>
                <w:rFonts w:cs="Arial"/>
                <w:shd w:val="clear" w:color="auto" w:fill="FFFFFF"/>
              </w:rPr>
              <w:t xml:space="preserve"> and </w:t>
            </w:r>
            <w:r w:rsidRPr="007A1EAC">
              <w:rPr>
                <w:rFonts w:cs="Arial"/>
                <w:shd w:val="clear" w:color="auto" w:fill="FFFFFF"/>
              </w:rPr>
              <w:t>less than 5% receive zinc</w:t>
            </w:r>
            <w:r>
              <w:rPr>
                <w:rFonts w:cs="Arial"/>
                <w:shd w:val="clear" w:color="auto" w:fill="FFFFFF"/>
              </w:rPr>
              <w:t>.</w:t>
            </w:r>
          </w:p>
          <w:p w:rsidR="0088275E" w:rsidRDefault="0088275E" w:rsidP="007A7E61">
            <w:pPr>
              <w:rPr>
                <w:bCs/>
              </w:rPr>
            </w:pPr>
          </w:p>
        </w:tc>
        <w:tc>
          <w:tcPr>
            <w:tcW w:w="3119" w:type="dxa"/>
          </w:tcPr>
          <w:p w:rsidR="0088275E" w:rsidRDefault="0088275E" w:rsidP="007A7E61">
            <w:pPr>
              <w:rPr>
                <w:bCs/>
              </w:rPr>
            </w:pPr>
            <w:r>
              <w:rPr>
                <w:bCs/>
              </w:rPr>
              <w:t>Poor availability of ORS and, especially, zinc</w:t>
            </w:r>
          </w:p>
          <w:p w:rsidR="0088275E" w:rsidRDefault="0088275E" w:rsidP="007A7E61">
            <w:pPr>
              <w:rPr>
                <w:bCs/>
              </w:rPr>
            </w:pPr>
          </w:p>
          <w:p w:rsidR="0088275E" w:rsidRDefault="0088275E" w:rsidP="007A7E61">
            <w:pPr>
              <w:rPr>
                <w:bCs/>
              </w:rPr>
            </w:pPr>
            <w:r>
              <w:rPr>
                <w:bCs/>
              </w:rPr>
              <w:t>Poor knowledge of ORS and, especially, of zinc by caregivers</w:t>
            </w:r>
          </w:p>
          <w:p w:rsidR="0088275E" w:rsidRDefault="0088275E" w:rsidP="007A7E61">
            <w:pPr>
              <w:rPr>
                <w:bCs/>
              </w:rPr>
            </w:pPr>
          </w:p>
          <w:p w:rsidR="0088275E" w:rsidRDefault="0088275E" w:rsidP="007A7E61">
            <w:pPr>
              <w:rPr>
                <w:bCs/>
              </w:rPr>
            </w:pPr>
            <w:r>
              <w:rPr>
                <w:bCs/>
              </w:rPr>
              <w:t>Low perceived risk of death from diarrhea; limited care-seeking behaviors</w:t>
            </w:r>
          </w:p>
          <w:p w:rsidR="0088275E" w:rsidRDefault="0088275E" w:rsidP="007A7E61">
            <w:pPr>
              <w:rPr>
                <w:bCs/>
              </w:rPr>
            </w:pPr>
          </w:p>
          <w:p w:rsidR="0088275E" w:rsidRDefault="0088275E" w:rsidP="007A7E61">
            <w:pPr>
              <w:rPr>
                <w:bCs/>
              </w:rPr>
            </w:pPr>
            <w:r>
              <w:rPr>
                <w:bCs/>
              </w:rPr>
              <w:t>Inconsistent uptake and use of ORS and zinc; poor perception of efficacy, or preference for other treatments (antibiotics, anti-</w:t>
            </w:r>
            <w:proofErr w:type="spellStart"/>
            <w:r>
              <w:rPr>
                <w:bCs/>
              </w:rPr>
              <w:t>diarrheals</w:t>
            </w:r>
            <w:proofErr w:type="spellEnd"/>
            <w:r>
              <w:rPr>
                <w:bCs/>
              </w:rPr>
              <w:t xml:space="preserve">) </w:t>
            </w:r>
          </w:p>
          <w:p w:rsidR="0088275E" w:rsidRDefault="0088275E" w:rsidP="007A7E61">
            <w:pPr>
              <w:rPr>
                <w:bCs/>
              </w:rPr>
            </w:pPr>
          </w:p>
          <w:p w:rsidR="0088275E" w:rsidRDefault="0088275E" w:rsidP="007A7E61">
            <w:pPr>
              <w:rPr>
                <w:bCs/>
              </w:rPr>
            </w:pPr>
            <w:r>
              <w:rPr>
                <w:bCs/>
              </w:rPr>
              <w:t>Donor support may be needed to keep products, when they are available, affordable</w:t>
            </w:r>
          </w:p>
          <w:p w:rsidR="0088275E" w:rsidRDefault="0088275E" w:rsidP="007A7E61">
            <w:pPr>
              <w:rPr>
                <w:bCs/>
              </w:rPr>
            </w:pPr>
          </w:p>
        </w:tc>
        <w:tc>
          <w:tcPr>
            <w:tcW w:w="3120" w:type="dxa"/>
          </w:tcPr>
          <w:p w:rsidR="0088275E" w:rsidRDefault="0088275E" w:rsidP="007A7E61">
            <w:pPr>
              <w:rPr>
                <w:bCs/>
              </w:rPr>
            </w:pPr>
            <w:r>
              <w:rPr>
                <w:bCs/>
              </w:rPr>
              <w:t>ORS can prevent 93% of diarrheal deaths</w:t>
            </w:r>
          </w:p>
          <w:p w:rsidR="0088275E" w:rsidRDefault="0088275E" w:rsidP="007A7E61">
            <w:pPr>
              <w:rPr>
                <w:bCs/>
              </w:rPr>
            </w:pPr>
          </w:p>
          <w:p w:rsidR="0088275E" w:rsidRDefault="0088275E" w:rsidP="007A7E61">
            <w:pPr>
              <w:rPr>
                <w:bCs/>
              </w:rPr>
            </w:pPr>
            <w:r>
              <w:rPr>
                <w:bCs/>
              </w:rPr>
              <w:t>Zinc can shorten the duration of diarrhea episodes, and prevent 23% of related deaths</w:t>
            </w:r>
          </w:p>
          <w:p w:rsidR="0088275E" w:rsidRDefault="0088275E" w:rsidP="007A7E61">
            <w:pPr>
              <w:rPr>
                <w:bCs/>
              </w:rPr>
            </w:pPr>
          </w:p>
          <w:p w:rsidR="0088275E" w:rsidRDefault="0088275E" w:rsidP="007A7E61">
            <w:pPr>
              <w:rPr>
                <w:bCs/>
              </w:rPr>
            </w:pPr>
            <w:r>
              <w:rPr>
                <w:bCs/>
              </w:rPr>
              <w:t>Treatment course is economical</w:t>
            </w:r>
          </w:p>
        </w:tc>
      </w:tr>
      <w:tr w:rsidR="0088275E" w:rsidTr="007A7E61">
        <w:trPr>
          <w:trHeight w:val="980"/>
        </w:trPr>
        <w:tc>
          <w:tcPr>
            <w:tcW w:w="2849" w:type="dxa"/>
          </w:tcPr>
          <w:p w:rsidR="0088275E" w:rsidRPr="00BC67E8" w:rsidRDefault="0088275E" w:rsidP="007A7E61">
            <w:pPr>
              <w:rPr>
                <w:b/>
                <w:bCs/>
              </w:rPr>
            </w:pPr>
            <w:r w:rsidRPr="00BC67E8">
              <w:rPr>
                <w:b/>
                <w:bCs/>
              </w:rPr>
              <w:t>Providers (incl. public and private, clinic- and community-based)</w:t>
            </w:r>
          </w:p>
        </w:tc>
        <w:tc>
          <w:tcPr>
            <w:tcW w:w="3469" w:type="dxa"/>
          </w:tcPr>
          <w:p w:rsidR="0088275E" w:rsidRDefault="0088275E" w:rsidP="007A7E61">
            <w:pPr>
              <w:rPr>
                <w:bCs/>
              </w:rPr>
            </w:pPr>
            <w:r>
              <w:rPr>
                <w:bCs/>
              </w:rPr>
              <w:t>Low levels of promotion and use of ORS and zinc</w:t>
            </w:r>
          </w:p>
          <w:p w:rsidR="0088275E" w:rsidRDefault="0088275E" w:rsidP="007A7E61">
            <w:pPr>
              <w:rPr>
                <w:bCs/>
              </w:rPr>
            </w:pPr>
          </w:p>
          <w:p w:rsidR="0088275E" w:rsidRDefault="0088275E" w:rsidP="007A7E61">
            <w:pPr>
              <w:rPr>
                <w:bCs/>
              </w:rPr>
            </w:pPr>
            <w:r>
              <w:rPr>
                <w:bCs/>
              </w:rPr>
              <w:t xml:space="preserve">Co-prescription with other </w:t>
            </w:r>
            <w:r>
              <w:rPr>
                <w:bCs/>
              </w:rPr>
              <w:lastRenderedPageBreak/>
              <w:t>inappropriate treatments</w:t>
            </w:r>
          </w:p>
        </w:tc>
        <w:tc>
          <w:tcPr>
            <w:tcW w:w="3119" w:type="dxa"/>
          </w:tcPr>
          <w:p w:rsidR="0088275E" w:rsidRDefault="0088275E" w:rsidP="007A7E61">
            <w:pPr>
              <w:rPr>
                <w:bCs/>
              </w:rPr>
            </w:pPr>
            <w:r>
              <w:rPr>
                <w:bCs/>
              </w:rPr>
              <w:lastRenderedPageBreak/>
              <w:t>Low levels of knowledge about pathology of childhood diarrhea, and most effective treatments</w:t>
            </w:r>
          </w:p>
          <w:p w:rsidR="0088275E" w:rsidRDefault="0088275E" w:rsidP="007A7E61">
            <w:pPr>
              <w:rPr>
                <w:bCs/>
              </w:rPr>
            </w:pPr>
          </w:p>
          <w:p w:rsidR="0088275E" w:rsidRDefault="0088275E" w:rsidP="007A7E61">
            <w:pPr>
              <w:rPr>
                <w:bCs/>
              </w:rPr>
            </w:pPr>
            <w:r>
              <w:rPr>
                <w:bCs/>
              </w:rPr>
              <w:t>Perceived need to prescribe other treatments, such as antibiotics</w:t>
            </w:r>
          </w:p>
          <w:p w:rsidR="0088275E" w:rsidRDefault="0088275E" w:rsidP="007A7E61">
            <w:pPr>
              <w:rPr>
                <w:bCs/>
              </w:rPr>
            </w:pPr>
          </w:p>
          <w:p w:rsidR="0088275E" w:rsidRDefault="0088275E" w:rsidP="007A7E61">
            <w:pPr>
              <w:rPr>
                <w:bCs/>
              </w:rPr>
            </w:pPr>
            <w:r>
              <w:rPr>
                <w:bCs/>
              </w:rPr>
              <w:t>Poor availability</w:t>
            </w:r>
          </w:p>
          <w:p w:rsidR="0088275E" w:rsidRDefault="0088275E" w:rsidP="007A7E61">
            <w:pPr>
              <w:rPr>
                <w:bCs/>
              </w:rPr>
            </w:pPr>
          </w:p>
        </w:tc>
        <w:tc>
          <w:tcPr>
            <w:tcW w:w="3120" w:type="dxa"/>
          </w:tcPr>
          <w:p w:rsidR="0088275E" w:rsidRDefault="0088275E" w:rsidP="007A7E61">
            <w:pPr>
              <w:rPr>
                <w:bCs/>
              </w:rPr>
            </w:pPr>
            <w:r>
              <w:rPr>
                <w:bCs/>
              </w:rPr>
              <w:lastRenderedPageBreak/>
              <w:t>Method easily incorporated into current MNCH counseling and IMCI strategies</w:t>
            </w:r>
          </w:p>
          <w:p w:rsidR="0088275E" w:rsidRDefault="0088275E" w:rsidP="007A7E61">
            <w:pPr>
              <w:rPr>
                <w:bCs/>
              </w:rPr>
            </w:pPr>
          </w:p>
          <w:p w:rsidR="0088275E" w:rsidRDefault="0088275E" w:rsidP="007A7E61">
            <w:pPr>
              <w:rPr>
                <w:bCs/>
              </w:rPr>
            </w:pPr>
            <w:r>
              <w:rPr>
                <w:bCs/>
              </w:rPr>
              <w:lastRenderedPageBreak/>
              <w:t>Administration of ORS is easy (once dosage is understood)</w:t>
            </w:r>
          </w:p>
          <w:p w:rsidR="0088275E" w:rsidRDefault="0088275E" w:rsidP="007A7E61">
            <w:pPr>
              <w:rPr>
                <w:bCs/>
              </w:rPr>
            </w:pPr>
          </w:p>
          <w:p w:rsidR="0088275E" w:rsidRDefault="0088275E" w:rsidP="007A7E61">
            <w:pPr>
              <w:rPr>
                <w:bCs/>
              </w:rPr>
            </w:pPr>
            <w:r>
              <w:rPr>
                <w:bCs/>
              </w:rPr>
              <w:t xml:space="preserve">Broad range of providers can </w:t>
            </w:r>
            <w:proofErr w:type="gramStart"/>
            <w:r>
              <w:rPr>
                <w:bCs/>
              </w:rPr>
              <w:t>distribute  (</w:t>
            </w:r>
            <w:proofErr w:type="gramEnd"/>
            <w:r>
              <w:rPr>
                <w:bCs/>
              </w:rPr>
              <w:t xml:space="preserve">CHWs, clinicians, shopkeepers, etc.) </w:t>
            </w:r>
          </w:p>
        </w:tc>
      </w:tr>
    </w:tbl>
    <w:p w:rsidR="00AF7700" w:rsidRDefault="00D226B4"/>
    <w:sectPr w:rsidR="00AF7700" w:rsidSect="0088275E">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B4" w:rsidRDefault="00D226B4" w:rsidP="0088275E">
      <w:pPr>
        <w:spacing w:after="0" w:line="240" w:lineRule="auto"/>
      </w:pPr>
      <w:r>
        <w:separator/>
      </w:r>
    </w:p>
  </w:endnote>
  <w:endnote w:type="continuationSeparator" w:id="0">
    <w:p w:rsidR="00D226B4" w:rsidRDefault="00D226B4" w:rsidP="0088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B4" w:rsidRDefault="00D226B4" w:rsidP="0088275E">
      <w:pPr>
        <w:spacing w:after="0" w:line="240" w:lineRule="auto"/>
      </w:pPr>
      <w:r>
        <w:separator/>
      </w:r>
    </w:p>
  </w:footnote>
  <w:footnote w:type="continuationSeparator" w:id="0">
    <w:p w:rsidR="00D226B4" w:rsidRDefault="00D226B4" w:rsidP="0088275E">
      <w:pPr>
        <w:spacing w:after="0" w:line="240" w:lineRule="auto"/>
      </w:pPr>
      <w:r>
        <w:continuationSeparator/>
      </w:r>
    </w:p>
  </w:footnote>
  <w:footnote w:id="1">
    <w:p w:rsidR="0088275E" w:rsidRPr="00A90660" w:rsidRDefault="0088275E" w:rsidP="0088275E">
      <w:pPr>
        <w:pStyle w:val="FootnoteText"/>
        <w:rPr>
          <w:lang w:val="en-US"/>
        </w:rPr>
      </w:pPr>
      <w:r>
        <w:rPr>
          <w:rStyle w:val="FootnoteReference"/>
        </w:rPr>
        <w:footnoteRef/>
      </w:r>
      <w:r>
        <w:t xml:space="preserve"> </w:t>
      </w:r>
      <w:r>
        <w:rPr>
          <w:lang w:val="en-US"/>
        </w:rPr>
        <w:t xml:space="preserve">Members of the Diarrhea and Pneumonia Working Group found that the cost to consumers for ORS and zinc is US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88275E" w:rsidTr="007A7E61">
      <w:tc>
        <w:tcPr>
          <w:tcW w:w="4799" w:type="pct"/>
          <w:tcBorders>
            <w:bottom w:val="single" w:sz="4" w:space="0" w:color="auto"/>
          </w:tcBorders>
          <w:vAlign w:val="bottom"/>
        </w:tcPr>
        <w:p w:rsidR="0088275E" w:rsidRPr="00175C66" w:rsidRDefault="0088275E" w:rsidP="0088275E">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ORS and Zinc: Step 1 (Analyze the Situation)</w:t>
          </w:r>
        </w:p>
      </w:tc>
      <w:tc>
        <w:tcPr>
          <w:tcW w:w="201" w:type="pct"/>
          <w:tcBorders>
            <w:bottom w:val="single" w:sz="4" w:space="0" w:color="C45911" w:themeColor="accent2" w:themeShade="BF"/>
          </w:tcBorders>
          <w:shd w:val="clear" w:color="auto" w:fill="C45911" w:themeFill="accent2" w:themeFillShade="BF"/>
          <w:vAlign w:val="bottom"/>
        </w:tcPr>
        <w:p w:rsidR="0088275E" w:rsidRDefault="0088275E" w:rsidP="0088275E">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702308">
            <w:rPr>
              <w:rFonts w:ascii="Calibri" w:hAnsi="Calibri"/>
              <w:b/>
              <w:noProof/>
              <w:color w:val="FFFFFF" w:themeColor="background1"/>
              <w:sz w:val="24"/>
              <w:szCs w:val="24"/>
            </w:rPr>
            <w:t>7</w:t>
          </w:r>
          <w:r w:rsidRPr="00124693">
            <w:rPr>
              <w:rFonts w:ascii="Calibri" w:hAnsi="Calibri"/>
              <w:b/>
              <w:color w:val="FFFFFF" w:themeColor="background1"/>
              <w:sz w:val="24"/>
              <w:szCs w:val="24"/>
            </w:rPr>
            <w:fldChar w:fldCharType="end"/>
          </w:r>
        </w:p>
      </w:tc>
    </w:tr>
  </w:tbl>
  <w:p w:rsidR="0088275E" w:rsidRDefault="0088275E" w:rsidP="0088275E">
    <w:pPr>
      <w:pStyle w:val="Header"/>
    </w:pPr>
  </w:p>
  <w:p w:rsidR="0088275E" w:rsidRDefault="00882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5E"/>
    <w:rsid w:val="000D6438"/>
    <w:rsid w:val="00702308"/>
    <w:rsid w:val="0088275E"/>
    <w:rsid w:val="00AA4E26"/>
    <w:rsid w:val="00D2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275E"/>
    <w:pPr>
      <w:keepNext/>
      <w:keepLines/>
      <w:spacing w:before="720" w:after="240" w:line="276" w:lineRule="auto"/>
      <w:outlineLvl w:val="0"/>
    </w:pPr>
    <w:rPr>
      <w:rFonts w:eastAsiaTheme="majorEastAsia" w:cstheme="minorHAnsi"/>
      <w:b/>
      <w:bCs/>
      <w:color w:val="C00000"/>
      <w:sz w:val="36"/>
      <w:szCs w:val="36"/>
    </w:rPr>
  </w:style>
  <w:style w:type="paragraph" w:styleId="Heading2">
    <w:name w:val="heading 2"/>
    <w:basedOn w:val="Heading1"/>
    <w:next w:val="Normal"/>
    <w:link w:val="Heading2Char"/>
    <w:autoRedefine/>
    <w:uiPriority w:val="9"/>
    <w:unhideWhenUsed/>
    <w:qFormat/>
    <w:rsid w:val="0088275E"/>
    <w:pPr>
      <w:spacing w:before="120" w:after="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75E"/>
    <w:rPr>
      <w:rFonts w:eastAsiaTheme="majorEastAsia" w:cstheme="minorHAnsi"/>
      <w:b/>
      <w:bCs/>
      <w:color w:val="C00000"/>
      <w:sz w:val="36"/>
      <w:szCs w:val="36"/>
    </w:rPr>
  </w:style>
  <w:style w:type="character" w:customStyle="1" w:styleId="Heading2Char">
    <w:name w:val="Heading 2 Char"/>
    <w:basedOn w:val="DefaultParagraphFont"/>
    <w:link w:val="Heading2"/>
    <w:uiPriority w:val="9"/>
    <w:rsid w:val="0088275E"/>
    <w:rPr>
      <w:rFonts w:eastAsiaTheme="majorEastAsia" w:cstheme="minorHAnsi"/>
      <w:b/>
      <w:bCs/>
      <w:color w:val="C00000"/>
      <w:sz w:val="24"/>
      <w:szCs w:val="24"/>
    </w:rPr>
  </w:style>
  <w:style w:type="paragraph" w:styleId="CommentText">
    <w:name w:val="annotation text"/>
    <w:basedOn w:val="Normal"/>
    <w:link w:val="CommentTextChar"/>
    <w:uiPriority w:val="99"/>
    <w:unhideWhenUsed/>
    <w:rsid w:val="0088275E"/>
    <w:pPr>
      <w:spacing w:after="200" w:line="240" w:lineRule="auto"/>
    </w:pPr>
    <w:rPr>
      <w:sz w:val="20"/>
      <w:szCs w:val="20"/>
    </w:rPr>
  </w:style>
  <w:style w:type="character" w:customStyle="1" w:styleId="CommentTextChar">
    <w:name w:val="Comment Text Char"/>
    <w:basedOn w:val="DefaultParagraphFont"/>
    <w:link w:val="CommentText"/>
    <w:uiPriority w:val="99"/>
    <w:rsid w:val="0088275E"/>
    <w:rPr>
      <w:sz w:val="20"/>
      <w:szCs w:val="20"/>
    </w:rPr>
  </w:style>
  <w:style w:type="character" w:styleId="Hyperlink">
    <w:name w:val="Hyperlink"/>
    <w:basedOn w:val="DefaultParagraphFont"/>
    <w:uiPriority w:val="99"/>
    <w:unhideWhenUsed/>
    <w:rsid w:val="0088275E"/>
    <w:rPr>
      <w:color w:val="0563C1" w:themeColor="hyperlink"/>
      <w:u w:val="single"/>
    </w:rPr>
  </w:style>
  <w:style w:type="paragraph" w:styleId="FootnoteText">
    <w:name w:val="footnote text"/>
    <w:basedOn w:val="Normal"/>
    <w:link w:val="FootnoteTextChar"/>
    <w:uiPriority w:val="99"/>
    <w:unhideWhenUsed/>
    <w:rsid w:val="0088275E"/>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88275E"/>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88275E"/>
    <w:rPr>
      <w:vertAlign w:val="superscript"/>
    </w:rPr>
  </w:style>
  <w:style w:type="table" w:styleId="TableGrid">
    <w:name w:val="Table Grid"/>
    <w:basedOn w:val="TableNormal"/>
    <w:uiPriority w:val="59"/>
    <w:rsid w:val="00882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82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2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5E"/>
  </w:style>
  <w:style w:type="paragraph" w:styleId="Footer">
    <w:name w:val="footer"/>
    <w:basedOn w:val="Normal"/>
    <w:link w:val="FooterChar"/>
    <w:uiPriority w:val="99"/>
    <w:unhideWhenUsed/>
    <w:rsid w:val="00882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275E"/>
    <w:pPr>
      <w:keepNext/>
      <w:keepLines/>
      <w:spacing w:before="720" w:after="240" w:line="276" w:lineRule="auto"/>
      <w:outlineLvl w:val="0"/>
    </w:pPr>
    <w:rPr>
      <w:rFonts w:eastAsiaTheme="majorEastAsia" w:cstheme="minorHAnsi"/>
      <w:b/>
      <w:bCs/>
      <w:color w:val="C00000"/>
      <w:sz w:val="36"/>
      <w:szCs w:val="36"/>
    </w:rPr>
  </w:style>
  <w:style w:type="paragraph" w:styleId="Heading2">
    <w:name w:val="heading 2"/>
    <w:basedOn w:val="Heading1"/>
    <w:next w:val="Normal"/>
    <w:link w:val="Heading2Char"/>
    <w:autoRedefine/>
    <w:uiPriority w:val="9"/>
    <w:unhideWhenUsed/>
    <w:qFormat/>
    <w:rsid w:val="0088275E"/>
    <w:pPr>
      <w:spacing w:before="120" w:after="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75E"/>
    <w:rPr>
      <w:rFonts w:eastAsiaTheme="majorEastAsia" w:cstheme="minorHAnsi"/>
      <w:b/>
      <w:bCs/>
      <w:color w:val="C00000"/>
      <w:sz w:val="36"/>
      <w:szCs w:val="36"/>
    </w:rPr>
  </w:style>
  <w:style w:type="character" w:customStyle="1" w:styleId="Heading2Char">
    <w:name w:val="Heading 2 Char"/>
    <w:basedOn w:val="DefaultParagraphFont"/>
    <w:link w:val="Heading2"/>
    <w:uiPriority w:val="9"/>
    <w:rsid w:val="0088275E"/>
    <w:rPr>
      <w:rFonts w:eastAsiaTheme="majorEastAsia" w:cstheme="minorHAnsi"/>
      <w:b/>
      <w:bCs/>
      <w:color w:val="C00000"/>
      <w:sz w:val="24"/>
      <w:szCs w:val="24"/>
    </w:rPr>
  </w:style>
  <w:style w:type="paragraph" w:styleId="CommentText">
    <w:name w:val="annotation text"/>
    <w:basedOn w:val="Normal"/>
    <w:link w:val="CommentTextChar"/>
    <w:uiPriority w:val="99"/>
    <w:unhideWhenUsed/>
    <w:rsid w:val="0088275E"/>
    <w:pPr>
      <w:spacing w:after="200" w:line="240" w:lineRule="auto"/>
    </w:pPr>
    <w:rPr>
      <w:sz w:val="20"/>
      <w:szCs w:val="20"/>
    </w:rPr>
  </w:style>
  <w:style w:type="character" w:customStyle="1" w:styleId="CommentTextChar">
    <w:name w:val="Comment Text Char"/>
    <w:basedOn w:val="DefaultParagraphFont"/>
    <w:link w:val="CommentText"/>
    <w:uiPriority w:val="99"/>
    <w:rsid w:val="0088275E"/>
    <w:rPr>
      <w:sz w:val="20"/>
      <w:szCs w:val="20"/>
    </w:rPr>
  </w:style>
  <w:style w:type="character" w:styleId="Hyperlink">
    <w:name w:val="Hyperlink"/>
    <w:basedOn w:val="DefaultParagraphFont"/>
    <w:uiPriority w:val="99"/>
    <w:unhideWhenUsed/>
    <w:rsid w:val="0088275E"/>
    <w:rPr>
      <w:color w:val="0563C1" w:themeColor="hyperlink"/>
      <w:u w:val="single"/>
    </w:rPr>
  </w:style>
  <w:style w:type="paragraph" w:styleId="FootnoteText">
    <w:name w:val="footnote text"/>
    <w:basedOn w:val="Normal"/>
    <w:link w:val="FootnoteTextChar"/>
    <w:uiPriority w:val="99"/>
    <w:unhideWhenUsed/>
    <w:rsid w:val="0088275E"/>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88275E"/>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88275E"/>
    <w:rPr>
      <w:vertAlign w:val="superscript"/>
    </w:rPr>
  </w:style>
  <w:style w:type="table" w:styleId="TableGrid">
    <w:name w:val="Table Grid"/>
    <w:basedOn w:val="TableNormal"/>
    <w:uiPriority w:val="59"/>
    <w:rsid w:val="00882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82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2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5E"/>
  </w:style>
  <w:style w:type="paragraph" w:styleId="Footer">
    <w:name w:val="footer"/>
    <w:basedOn w:val="Normal"/>
    <w:link w:val="FooterChar"/>
    <w:uiPriority w:val="99"/>
    <w:unhideWhenUsed/>
    <w:rsid w:val="00882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ywomaneverychild.org/resources/un-commission-on-life-saving-commodities/life-saving-commodities/oral-rehydration-sal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2</cp:revision>
  <dcterms:created xsi:type="dcterms:W3CDTF">2014-03-19T12:51:00Z</dcterms:created>
  <dcterms:modified xsi:type="dcterms:W3CDTF">2014-03-20T12:05:00Z</dcterms:modified>
</cp:coreProperties>
</file>