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307ED" w14:textId="0110CB15" w:rsidR="00C65C8B" w:rsidRPr="002035E2" w:rsidRDefault="00C65C8B" w:rsidP="00C65C8B">
      <w:pPr>
        <w:jc w:val="right"/>
        <w:rPr>
          <w:rFonts w:ascii="Myriad Pro" w:hAnsi="Myriad Pro" w:cs="Arial"/>
        </w:rPr>
      </w:pPr>
      <w:r w:rsidRPr="002035E2">
        <w:rPr>
          <w:rFonts w:ascii="Myriad Pro" w:hAnsi="Myriad Pro" w:cs="Arial"/>
        </w:rPr>
        <w:t xml:space="preserve"> </w:t>
      </w:r>
    </w:p>
    <w:p w14:paraId="7283E663" w14:textId="77777777" w:rsidR="00C65C8B" w:rsidRPr="002035E2" w:rsidRDefault="00C65C8B" w:rsidP="00C65C8B">
      <w:pPr>
        <w:jc w:val="right"/>
        <w:rPr>
          <w:rFonts w:ascii="Myriad Pro" w:hAnsi="Myriad Pro" w:cs="Arial"/>
        </w:rPr>
      </w:pPr>
    </w:p>
    <w:p w14:paraId="492A5542" w14:textId="3948232E" w:rsidR="00C65C8B" w:rsidRPr="002035E2" w:rsidRDefault="00C65C8B" w:rsidP="00C65C8B">
      <w:pPr>
        <w:jc w:val="right"/>
        <w:rPr>
          <w:rFonts w:ascii="Myriad Pro" w:hAnsi="Myriad Pro" w:cs="Arial"/>
          <w:sz w:val="44"/>
          <w:szCs w:val="44"/>
        </w:rPr>
      </w:pPr>
      <w:r w:rsidRPr="002035E2">
        <w:rPr>
          <w:rFonts w:ascii="Myriad Pro" w:hAnsi="Myriad Pro" w:cs="Arial"/>
          <w:sz w:val="44"/>
          <w:szCs w:val="44"/>
        </w:rPr>
        <w:t xml:space="preserve">STEP </w:t>
      </w:r>
      <w:r w:rsidR="00C410B9" w:rsidRPr="002035E2">
        <w:rPr>
          <w:rFonts w:ascii="Myriad Pro" w:hAnsi="Myriad Pro" w:cs="Arial"/>
          <w:sz w:val="44"/>
          <w:szCs w:val="44"/>
        </w:rPr>
        <w:t>6</w:t>
      </w:r>
      <w:r w:rsidRPr="002035E2">
        <w:rPr>
          <w:rFonts w:ascii="Myriad Pro" w:hAnsi="Myriad Pro" w:cs="Arial"/>
          <w:sz w:val="44"/>
          <w:szCs w:val="44"/>
        </w:rPr>
        <w:t xml:space="preserve"> </w:t>
      </w:r>
      <w:proofErr w:type="gramStart"/>
      <w:r w:rsidRPr="002035E2">
        <w:rPr>
          <w:rFonts w:ascii="Myriad Pro" w:hAnsi="Myriad Pro" w:cs="Arial"/>
          <w:sz w:val="44"/>
          <w:szCs w:val="44"/>
        </w:rPr>
        <w:t>TASK</w:t>
      </w:r>
      <w:proofErr w:type="gramEnd"/>
      <w:r w:rsidRPr="002035E2">
        <w:rPr>
          <w:rFonts w:ascii="Myriad Pro" w:hAnsi="Myriad Pro" w:cs="Arial"/>
          <w:sz w:val="44"/>
          <w:szCs w:val="44"/>
        </w:rPr>
        <w:t xml:space="preserve"> </w:t>
      </w:r>
      <w:r w:rsidR="00C410B9" w:rsidRPr="002035E2">
        <w:rPr>
          <w:rFonts w:ascii="Myriad Pro" w:hAnsi="Myriad Pro" w:cs="Arial"/>
          <w:sz w:val="44"/>
          <w:szCs w:val="44"/>
        </w:rPr>
        <w:t>4</w:t>
      </w:r>
      <w:r w:rsidRPr="002035E2">
        <w:rPr>
          <w:rFonts w:ascii="Myriad Pro" w:hAnsi="Myriad Pro" w:cs="Arial"/>
          <w:sz w:val="44"/>
          <w:szCs w:val="44"/>
        </w:rPr>
        <w:t xml:space="preserve">: </w:t>
      </w:r>
      <w:r w:rsidR="00573BA5" w:rsidRPr="002035E2">
        <w:rPr>
          <w:rFonts w:ascii="Myriad Pro" w:hAnsi="Myriad Pro" w:cs="Arial"/>
          <w:sz w:val="44"/>
          <w:szCs w:val="44"/>
        </w:rPr>
        <w:br/>
      </w:r>
      <w:r w:rsidR="009B21B6" w:rsidRPr="002035E2">
        <w:rPr>
          <w:rFonts w:ascii="Myriad Pro" w:hAnsi="Myriad Pro" w:cs="Arial"/>
          <w:sz w:val="44"/>
          <w:szCs w:val="44"/>
        </w:rPr>
        <w:t>Budgeting Tool</w:t>
      </w:r>
    </w:p>
    <w:p w14:paraId="27E213AD" w14:textId="61DB7949" w:rsidR="009B21B6" w:rsidRPr="002035E2" w:rsidRDefault="009B21B6" w:rsidP="009B21B6">
      <w:pPr>
        <w:shd w:val="clear" w:color="auto" w:fill="FFFFFF"/>
        <w:spacing w:line="362" w:lineRule="atLeast"/>
        <w:textAlignment w:val="baseline"/>
        <w:rPr>
          <w:rFonts w:ascii="Myriad Pro" w:hAnsi="Myriad Pro" w:cs="Arial"/>
          <w:color w:val="606569"/>
        </w:rPr>
      </w:pPr>
      <w:bookmarkStart w:id="0" w:name="_GoBack"/>
      <w:bookmarkEnd w:id="0"/>
      <w:r w:rsidRPr="002035E2">
        <w:rPr>
          <w:rFonts w:ascii="Myriad Pro" w:hAnsi="Myriad Pro" w:cs="Arial"/>
          <w:color w:val="606569"/>
        </w:rPr>
        <w:br/>
      </w:r>
    </w:p>
    <w:tbl>
      <w:tblPr>
        <w:tblW w:w="13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0"/>
        <w:gridCol w:w="7435"/>
      </w:tblGrid>
      <w:tr w:rsidR="009B21B6" w:rsidRPr="002035E2" w14:paraId="1AABCBD6" w14:textId="77777777" w:rsidTr="007F4C85">
        <w:tc>
          <w:tcPr>
            <w:tcW w:w="59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27199AA8" w14:textId="77777777" w:rsidR="009B21B6" w:rsidRPr="002035E2" w:rsidRDefault="009B21B6" w:rsidP="009B21B6">
            <w:pPr>
              <w:spacing w:line="362" w:lineRule="atLeast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b/>
                <w:bCs/>
                <w:color w:val="606569"/>
                <w:bdr w:val="none" w:sz="0" w:space="0" w:color="auto" w:frame="1"/>
              </w:rPr>
              <w:t>Activities</w:t>
            </w:r>
          </w:p>
        </w:tc>
        <w:tc>
          <w:tcPr>
            <w:tcW w:w="743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1C4EEB76" w14:textId="77777777" w:rsidR="009B21B6" w:rsidRPr="002035E2" w:rsidRDefault="009B21B6" w:rsidP="009B21B6">
            <w:pPr>
              <w:spacing w:line="362" w:lineRule="atLeast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b/>
                <w:bCs/>
                <w:color w:val="606569"/>
                <w:bdr w:val="none" w:sz="0" w:space="0" w:color="auto" w:frame="1"/>
              </w:rPr>
              <w:t>Possible Costs</w:t>
            </w:r>
          </w:p>
        </w:tc>
      </w:tr>
      <w:tr w:rsidR="009B21B6" w:rsidRPr="002035E2" w14:paraId="33C3CF34" w14:textId="77777777" w:rsidTr="007F4C85">
        <w:tc>
          <w:tcPr>
            <w:tcW w:w="59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4BB78C89" w14:textId="77777777" w:rsidR="009B21B6" w:rsidRPr="002035E2" w:rsidRDefault="009B21B6" w:rsidP="009B21B6">
            <w:pPr>
              <w:spacing w:line="362" w:lineRule="atLeast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Communication research and planning</w:t>
            </w:r>
          </w:p>
        </w:tc>
        <w:tc>
          <w:tcPr>
            <w:tcW w:w="743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5B973BA9" w14:textId="77777777" w:rsidR="009B21B6" w:rsidRPr="002035E2" w:rsidRDefault="009B21B6" w:rsidP="009B21B6">
            <w:pPr>
              <w:numPr>
                <w:ilvl w:val="0"/>
                <w:numId w:val="8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Personnel salaries and benefits; consultant fees</w:t>
            </w:r>
          </w:p>
          <w:p w14:paraId="53D89EB5" w14:textId="77777777" w:rsidR="009B21B6" w:rsidRPr="002035E2" w:rsidRDefault="009B21B6" w:rsidP="009B21B6">
            <w:pPr>
              <w:numPr>
                <w:ilvl w:val="0"/>
                <w:numId w:val="8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Training for data collection</w:t>
            </w:r>
          </w:p>
          <w:p w14:paraId="384D5734" w14:textId="77777777" w:rsidR="009B21B6" w:rsidRPr="002035E2" w:rsidRDefault="009B21B6" w:rsidP="009B21B6">
            <w:pPr>
              <w:numPr>
                <w:ilvl w:val="0"/>
                <w:numId w:val="8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Travel allowances for field work</w:t>
            </w:r>
          </w:p>
          <w:p w14:paraId="0A172A61" w14:textId="77777777" w:rsidR="009B21B6" w:rsidRPr="002035E2" w:rsidRDefault="009B21B6" w:rsidP="009B21B6">
            <w:pPr>
              <w:numPr>
                <w:ilvl w:val="0"/>
                <w:numId w:val="8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Supplies</w:t>
            </w:r>
          </w:p>
          <w:p w14:paraId="35C17F77" w14:textId="77777777" w:rsidR="009B21B6" w:rsidRPr="002035E2" w:rsidRDefault="009B21B6" w:rsidP="009B21B6">
            <w:pPr>
              <w:numPr>
                <w:ilvl w:val="0"/>
                <w:numId w:val="8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Data processing and analysis</w:t>
            </w:r>
          </w:p>
          <w:p w14:paraId="5B43C2DC" w14:textId="77777777" w:rsidR="009B21B6" w:rsidRPr="002035E2" w:rsidRDefault="009B21B6" w:rsidP="009B21B6">
            <w:pPr>
              <w:numPr>
                <w:ilvl w:val="0"/>
                <w:numId w:val="8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Report writing</w:t>
            </w:r>
          </w:p>
          <w:p w14:paraId="51974877" w14:textId="77777777" w:rsidR="009B21B6" w:rsidRPr="002035E2" w:rsidRDefault="009B21B6" w:rsidP="009B21B6">
            <w:pPr>
              <w:numPr>
                <w:ilvl w:val="0"/>
                <w:numId w:val="8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Meetings for planning</w:t>
            </w:r>
          </w:p>
        </w:tc>
      </w:tr>
      <w:tr w:rsidR="009B21B6" w:rsidRPr="002035E2" w14:paraId="14930A6C" w14:textId="77777777" w:rsidTr="007F4C85">
        <w:tc>
          <w:tcPr>
            <w:tcW w:w="59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79F0CCC9" w14:textId="77777777" w:rsidR="009B21B6" w:rsidRPr="002035E2" w:rsidRDefault="009B21B6" w:rsidP="009B21B6">
            <w:pPr>
              <w:spacing w:line="362" w:lineRule="atLeast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Monitoring and evaluation</w:t>
            </w:r>
          </w:p>
        </w:tc>
        <w:tc>
          <w:tcPr>
            <w:tcW w:w="743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25ED457D" w14:textId="77777777" w:rsidR="009B21B6" w:rsidRPr="002035E2" w:rsidRDefault="009B21B6" w:rsidP="009B21B6">
            <w:pPr>
              <w:numPr>
                <w:ilvl w:val="0"/>
                <w:numId w:val="9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Development, distribution, and collection of monitoring and evaluation questionnaires</w:t>
            </w:r>
          </w:p>
          <w:p w14:paraId="1A8F99AA" w14:textId="77777777" w:rsidR="009B21B6" w:rsidRPr="002035E2" w:rsidRDefault="009B21B6" w:rsidP="009B21B6">
            <w:pPr>
              <w:numPr>
                <w:ilvl w:val="0"/>
                <w:numId w:val="9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Orientation of trainers and training of field workers</w:t>
            </w:r>
          </w:p>
          <w:p w14:paraId="1206CCA7" w14:textId="77777777" w:rsidR="009B21B6" w:rsidRPr="002035E2" w:rsidRDefault="009B21B6" w:rsidP="009B21B6">
            <w:pPr>
              <w:numPr>
                <w:ilvl w:val="0"/>
                <w:numId w:val="9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Travel allowance for supervision and/or quality assurance of data collection</w:t>
            </w:r>
          </w:p>
          <w:p w14:paraId="29E5D77E" w14:textId="77777777" w:rsidR="009B21B6" w:rsidRPr="002035E2" w:rsidRDefault="009B21B6" w:rsidP="009B21B6">
            <w:pPr>
              <w:numPr>
                <w:ilvl w:val="0"/>
                <w:numId w:val="9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Compilation and analysis of data</w:t>
            </w:r>
          </w:p>
          <w:p w14:paraId="7188D8C8" w14:textId="77777777" w:rsidR="009B21B6" w:rsidRPr="002035E2" w:rsidRDefault="009B21B6" w:rsidP="009B21B6">
            <w:pPr>
              <w:numPr>
                <w:ilvl w:val="0"/>
                <w:numId w:val="9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Organization of feedback session(s)</w:t>
            </w:r>
          </w:p>
          <w:p w14:paraId="29F172F5" w14:textId="77777777" w:rsidR="009B21B6" w:rsidRPr="002035E2" w:rsidRDefault="009B21B6" w:rsidP="009B21B6">
            <w:pPr>
              <w:numPr>
                <w:ilvl w:val="0"/>
                <w:numId w:val="9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Fees/salaries for evaluators</w:t>
            </w:r>
          </w:p>
          <w:p w14:paraId="2ED3F60D" w14:textId="77777777" w:rsidR="009B21B6" w:rsidRPr="002035E2" w:rsidRDefault="009B21B6" w:rsidP="009B21B6">
            <w:pPr>
              <w:numPr>
                <w:ilvl w:val="0"/>
                <w:numId w:val="9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lastRenderedPageBreak/>
              <w:t>As a general rule, at least 10% of your program should be allocated to monitoring and evaluation.</w:t>
            </w:r>
          </w:p>
        </w:tc>
      </w:tr>
      <w:tr w:rsidR="009B21B6" w:rsidRPr="002035E2" w14:paraId="5419F50A" w14:textId="77777777" w:rsidTr="007F4C85">
        <w:tc>
          <w:tcPr>
            <w:tcW w:w="59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68037F77" w14:textId="77777777" w:rsidR="009B21B6" w:rsidRPr="002035E2" w:rsidRDefault="009B21B6" w:rsidP="009B21B6">
            <w:pPr>
              <w:spacing w:line="362" w:lineRule="atLeast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lastRenderedPageBreak/>
              <w:t>Training and capacity development (through the SBCC program process)</w:t>
            </w:r>
          </w:p>
        </w:tc>
        <w:tc>
          <w:tcPr>
            <w:tcW w:w="743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693DD4D7" w14:textId="77777777" w:rsidR="009B21B6" w:rsidRPr="002035E2" w:rsidRDefault="009B21B6" w:rsidP="009B21B6">
            <w:pPr>
              <w:numPr>
                <w:ilvl w:val="0"/>
                <w:numId w:val="10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Curriculum development</w:t>
            </w:r>
          </w:p>
          <w:p w14:paraId="041B296E" w14:textId="77777777" w:rsidR="009B21B6" w:rsidRPr="002035E2" w:rsidRDefault="009B21B6" w:rsidP="009B21B6">
            <w:pPr>
              <w:numPr>
                <w:ilvl w:val="0"/>
                <w:numId w:val="10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Distance learning</w:t>
            </w:r>
          </w:p>
          <w:p w14:paraId="211114F7" w14:textId="77777777" w:rsidR="009B21B6" w:rsidRPr="002035E2" w:rsidRDefault="009B21B6" w:rsidP="009B21B6">
            <w:pPr>
              <w:numPr>
                <w:ilvl w:val="0"/>
                <w:numId w:val="10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Consultants’ and trainers’ fees</w:t>
            </w:r>
          </w:p>
          <w:p w14:paraId="275DFD75" w14:textId="77777777" w:rsidR="009B21B6" w:rsidRPr="002035E2" w:rsidRDefault="009B21B6" w:rsidP="009B21B6">
            <w:pPr>
              <w:numPr>
                <w:ilvl w:val="0"/>
                <w:numId w:val="10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Per diem and accommodation for participants</w:t>
            </w:r>
          </w:p>
          <w:p w14:paraId="5BD12E0B" w14:textId="77777777" w:rsidR="009B21B6" w:rsidRPr="002035E2" w:rsidRDefault="009B21B6" w:rsidP="009B21B6">
            <w:pPr>
              <w:numPr>
                <w:ilvl w:val="0"/>
                <w:numId w:val="10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Training materials</w:t>
            </w:r>
          </w:p>
          <w:p w14:paraId="02E05336" w14:textId="77777777" w:rsidR="009B21B6" w:rsidRPr="002035E2" w:rsidRDefault="009B21B6" w:rsidP="009B21B6">
            <w:pPr>
              <w:numPr>
                <w:ilvl w:val="0"/>
                <w:numId w:val="10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Equipment purchase or rental</w:t>
            </w:r>
          </w:p>
          <w:p w14:paraId="72E4F1B7" w14:textId="77777777" w:rsidR="009B21B6" w:rsidRPr="002035E2" w:rsidRDefault="009B21B6" w:rsidP="009B21B6">
            <w:pPr>
              <w:numPr>
                <w:ilvl w:val="0"/>
                <w:numId w:val="10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Hiring of training site</w:t>
            </w:r>
          </w:p>
        </w:tc>
      </w:tr>
      <w:tr w:rsidR="009B21B6" w:rsidRPr="002035E2" w14:paraId="0BEEABF2" w14:textId="77777777" w:rsidTr="007F4C85">
        <w:tc>
          <w:tcPr>
            <w:tcW w:w="59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02DA5F45" w14:textId="77777777" w:rsidR="009B21B6" w:rsidRPr="002035E2" w:rsidRDefault="009B21B6" w:rsidP="009B21B6">
            <w:pPr>
              <w:spacing w:line="362" w:lineRule="atLeast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Mobilization and outreach activities</w:t>
            </w:r>
          </w:p>
        </w:tc>
        <w:tc>
          <w:tcPr>
            <w:tcW w:w="743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0E859D5B" w14:textId="77777777" w:rsidR="009B21B6" w:rsidRPr="002035E2" w:rsidRDefault="009B21B6" w:rsidP="009B21B6">
            <w:pPr>
              <w:numPr>
                <w:ilvl w:val="0"/>
                <w:numId w:val="11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Identification and hiring of CBOs/NGOs</w:t>
            </w:r>
          </w:p>
          <w:p w14:paraId="36F263E2" w14:textId="77777777" w:rsidR="009B21B6" w:rsidRPr="002035E2" w:rsidRDefault="009B21B6" w:rsidP="009B21B6">
            <w:pPr>
              <w:numPr>
                <w:ilvl w:val="0"/>
                <w:numId w:val="11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Supervision and monitoring of CBOs/NGOs implementing mobilization and outreach activities</w:t>
            </w:r>
          </w:p>
        </w:tc>
      </w:tr>
      <w:tr w:rsidR="009B21B6" w:rsidRPr="002035E2" w14:paraId="5700598C" w14:textId="77777777" w:rsidTr="007F4C85">
        <w:tc>
          <w:tcPr>
            <w:tcW w:w="59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5E472A65" w14:textId="77777777" w:rsidR="009B21B6" w:rsidRPr="002035E2" w:rsidRDefault="009B21B6" w:rsidP="009B21B6">
            <w:pPr>
              <w:spacing w:line="362" w:lineRule="atLeast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Production of print materials</w:t>
            </w:r>
          </w:p>
        </w:tc>
        <w:tc>
          <w:tcPr>
            <w:tcW w:w="743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6B324978" w14:textId="77777777" w:rsidR="009B21B6" w:rsidRPr="002035E2" w:rsidRDefault="009B21B6" w:rsidP="009B21B6">
            <w:pPr>
              <w:numPr>
                <w:ilvl w:val="0"/>
                <w:numId w:val="12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Fees/salaries for writers, artists, and graphic designers</w:t>
            </w:r>
          </w:p>
          <w:p w14:paraId="03396633" w14:textId="77777777" w:rsidR="009B21B6" w:rsidRPr="002035E2" w:rsidRDefault="009B21B6" w:rsidP="009B21B6">
            <w:pPr>
              <w:numPr>
                <w:ilvl w:val="0"/>
                <w:numId w:val="12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Copywriting and editing</w:t>
            </w:r>
          </w:p>
          <w:p w14:paraId="4C1271B1" w14:textId="77777777" w:rsidR="009B21B6" w:rsidRPr="002035E2" w:rsidRDefault="009B21B6" w:rsidP="009B21B6">
            <w:pPr>
              <w:numPr>
                <w:ilvl w:val="0"/>
                <w:numId w:val="12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Typesetting</w:t>
            </w:r>
          </w:p>
          <w:p w14:paraId="7AA071DC" w14:textId="77777777" w:rsidR="009B21B6" w:rsidRPr="002035E2" w:rsidRDefault="009B21B6" w:rsidP="009B21B6">
            <w:pPr>
              <w:numPr>
                <w:ilvl w:val="0"/>
                <w:numId w:val="12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Pretesting of all print materials, including posters, brochures, and training curricula</w:t>
            </w:r>
          </w:p>
          <w:p w14:paraId="783CFE9A" w14:textId="77777777" w:rsidR="009B21B6" w:rsidRPr="002035E2" w:rsidRDefault="009B21B6" w:rsidP="009B21B6">
            <w:pPr>
              <w:numPr>
                <w:ilvl w:val="0"/>
                <w:numId w:val="12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Printing and distribution</w:t>
            </w:r>
          </w:p>
        </w:tc>
      </w:tr>
      <w:tr w:rsidR="009B21B6" w:rsidRPr="002035E2" w14:paraId="514B8A6F" w14:textId="77777777" w:rsidTr="007F4C85">
        <w:tc>
          <w:tcPr>
            <w:tcW w:w="59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43783696" w14:textId="77777777" w:rsidR="009B21B6" w:rsidRPr="002035E2" w:rsidRDefault="009B21B6" w:rsidP="009B21B6">
            <w:pPr>
              <w:spacing w:line="362" w:lineRule="atLeast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Production of broadcast materials</w:t>
            </w:r>
          </w:p>
        </w:tc>
        <w:tc>
          <w:tcPr>
            <w:tcW w:w="743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75D2F374" w14:textId="77777777" w:rsidR="009B21B6" w:rsidRPr="002035E2" w:rsidRDefault="009B21B6" w:rsidP="009B21B6">
            <w:pPr>
              <w:numPr>
                <w:ilvl w:val="0"/>
                <w:numId w:val="13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Fees/salaries of artists, scriptwriters, producers, videographers, and technicians</w:t>
            </w:r>
          </w:p>
          <w:p w14:paraId="38D2969D" w14:textId="77777777" w:rsidR="009B21B6" w:rsidRPr="002035E2" w:rsidRDefault="009B21B6" w:rsidP="009B21B6">
            <w:pPr>
              <w:numPr>
                <w:ilvl w:val="0"/>
                <w:numId w:val="13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lastRenderedPageBreak/>
              <w:t>Copywriting</w:t>
            </w:r>
          </w:p>
          <w:p w14:paraId="01E8C70D" w14:textId="77777777" w:rsidR="009B21B6" w:rsidRPr="002035E2" w:rsidRDefault="009B21B6" w:rsidP="009B21B6">
            <w:pPr>
              <w:numPr>
                <w:ilvl w:val="0"/>
                <w:numId w:val="13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Studio and equipment rental</w:t>
            </w:r>
          </w:p>
          <w:p w14:paraId="5A28F22C" w14:textId="77777777" w:rsidR="009B21B6" w:rsidRPr="002035E2" w:rsidRDefault="009B21B6" w:rsidP="009B21B6">
            <w:pPr>
              <w:numPr>
                <w:ilvl w:val="0"/>
                <w:numId w:val="13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Technical content reviewers</w:t>
            </w:r>
          </w:p>
          <w:p w14:paraId="6FDF6185" w14:textId="77777777" w:rsidR="009B21B6" w:rsidRPr="002035E2" w:rsidRDefault="009B21B6" w:rsidP="009B21B6">
            <w:pPr>
              <w:numPr>
                <w:ilvl w:val="0"/>
                <w:numId w:val="13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Pretesting of broadcast materials</w:t>
            </w:r>
          </w:p>
          <w:p w14:paraId="67AD0C7F" w14:textId="77777777" w:rsidR="009B21B6" w:rsidRPr="002035E2" w:rsidRDefault="009B21B6" w:rsidP="009B21B6">
            <w:pPr>
              <w:numPr>
                <w:ilvl w:val="0"/>
                <w:numId w:val="13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Airtime</w:t>
            </w:r>
          </w:p>
          <w:p w14:paraId="74C5549A" w14:textId="77777777" w:rsidR="009B21B6" w:rsidRPr="002035E2" w:rsidRDefault="009B21B6" w:rsidP="009B21B6">
            <w:pPr>
              <w:numPr>
                <w:ilvl w:val="0"/>
                <w:numId w:val="13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Distribution</w:t>
            </w:r>
          </w:p>
        </w:tc>
      </w:tr>
      <w:tr w:rsidR="009B21B6" w:rsidRPr="002035E2" w14:paraId="5FBC67B0" w14:textId="77777777" w:rsidTr="007F4C85">
        <w:tc>
          <w:tcPr>
            <w:tcW w:w="59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5A0AB324" w14:textId="77777777" w:rsidR="009B21B6" w:rsidRPr="002035E2" w:rsidRDefault="009B21B6" w:rsidP="009B21B6">
            <w:pPr>
              <w:spacing w:line="362" w:lineRule="atLeast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lastRenderedPageBreak/>
              <w:t>Special events</w:t>
            </w:r>
          </w:p>
        </w:tc>
        <w:tc>
          <w:tcPr>
            <w:tcW w:w="743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67875EB7" w14:textId="77777777" w:rsidR="009B21B6" w:rsidRPr="002035E2" w:rsidRDefault="009B21B6" w:rsidP="009B21B6">
            <w:pPr>
              <w:numPr>
                <w:ilvl w:val="0"/>
                <w:numId w:val="14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Give-</w:t>
            </w:r>
            <w:proofErr w:type="spellStart"/>
            <w:r w:rsidRPr="002035E2">
              <w:rPr>
                <w:rFonts w:ascii="Myriad Pro" w:eastAsia="Times New Roman" w:hAnsi="Myriad Pro" w:cs="Arial"/>
                <w:color w:val="606569"/>
              </w:rPr>
              <w:t>aways</w:t>
            </w:r>
            <w:proofErr w:type="spellEnd"/>
            <w:r w:rsidRPr="002035E2">
              <w:rPr>
                <w:rFonts w:ascii="Myriad Pro" w:eastAsia="Times New Roman" w:hAnsi="Myriad Pro" w:cs="Arial"/>
                <w:color w:val="606569"/>
              </w:rPr>
              <w:t xml:space="preserve"> – such as stickers, T-shirts</w:t>
            </w:r>
          </w:p>
          <w:p w14:paraId="4F498F3C" w14:textId="77777777" w:rsidR="009B21B6" w:rsidRPr="002035E2" w:rsidRDefault="009B21B6" w:rsidP="009B21B6">
            <w:pPr>
              <w:numPr>
                <w:ilvl w:val="0"/>
                <w:numId w:val="14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Press conferences and kick-off events</w:t>
            </w:r>
          </w:p>
          <w:p w14:paraId="5408DB32" w14:textId="77777777" w:rsidR="009B21B6" w:rsidRPr="002035E2" w:rsidRDefault="009B21B6" w:rsidP="009B21B6">
            <w:pPr>
              <w:numPr>
                <w:ilvl w:val="0"/>
                <w:numId w:val="14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Honoraria for dignitaries, celebrities</w:t>
            </w:r>
          </w:p>
          <w:p w14:paraId="72CDE44E" w14:textId="77777777" w:rsidR="009B21B6" w:rsidRPr="002035E2" w:rsidRDefault="009B21B6" w:rsidP="009B21B6">
            <w:pPr>
              <w:numPr>
                <w:ilvl w:val="0"/>
                <w:numId w:val="14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Hiring of sites, public address system, other equipment</w:t>
            </w:r>
          </w:p>
        </w:tc>
      </w:tr>
      <w:tr w:rsidR="009B21B6" w:rsidRPr="002035E2" w14:paraId="3B7DF064" w14:textId="77777777" w:rsidTr="007F4C85">
        <w:tc>
          <w:tcPr>
            <w:tcW w:w="59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59E2C5BE" w14:textId="77777777" w:rsidR="009B21B6" w:rsidRPr="002035E2" w:rsidRDefault="009B21B6" w:rsidP="009B21B6">
            <w:pPr>
              <w:spacing w:line="362" w:lineRule="atLeast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Other</w:t>
            </w:r>
          </w:p>
        </w:tc>
        <w:tc>
          <w:tcPr>
            <w:tcW w:w="743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14:paraId="6BC8FF0F" w14:textId="77777777" w:rsidR="009B21B6" w:rsidRPr="002035E2" w:rsidRDefault="009B21B6" w:rsidP="009B21B6">
            <w:pPr>
              <w:numPr>
                <w:ilvl w:val="0"/>
                <w:numId w:val="15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Communication – telephone, Internet access, fax, postage</w:t>
            </w:r>
          </w:p>
          <w:p w14:paraId="18EDD804" w14:textId="77777777" w:rsidR="009B21B6" w:rsidRPr="002035E2" w:rsidRDefault="009B21B6" w:rsidP="009B21B6">
            <w:pPr>
              <w:numPr>
                <w:ilvl w:val="0"/>
                <w:numId w:val="15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Administrative and overhead costs</w:t>
            </w:r>
          </w:p>
          <w:p w14:paraId="7784C4C7" w14:textId="77777777" w:rsidR="009B21B6" w:rsidRPr="002035E2" w:rsidRDefault="009B21B6" w:rsidP="009B21B6">
            <w:pPr>
              <w:numPr>
                <w:ilvl w:val="0"/>
                <w:numId w:val="15"/>
              </w:numPr>
              <w:spacing w:line="362" w:lineRule="atLeast"/>
              <w:ind w:left="630"/>
              <w:textAlignment w:val="baseline"/>
              <w:rPr>
                <w:rFonts w:ascii="Myriad Pro" w:eastAsia="Times New Roman" w:hAnsi="Myriad Pro" w:cs="Arial"/>
                <w:color w:val="606569"/>
              </w:rPr>
            </w:pPr>
            <w:r w:rsidRPr="002035E2">
              <w:rPr>
                <w:rFonts w:ascii="Myriad Pro" w:eastAsia="Times New Roman" w:hAnsi="Myriad Pro" w:cs="Arial"/>
                <w:color w:val="606569"/>
              </w:rPr>
              <w:t>Other transportation</w:t>
            </w:r>
          </w:p>
        </w:tc>
      </w:tr>
    </w:tbl>
    <w:p w14:paraId="697C0DF5" w14:textId="77777777" w:rsidR="009B21B6" w:rsidRPr="002035E2" w:rsidRDefault="009B21B6" w:rsidP="009B21B6">
      <w:pPr>
        <w:shd w:val="clear" w:color="auto" w:fill="FFFFFF"/>
        <w:spacing w:after="446" w:line="362" w:lineRule="atLeast"/>
        <w:textAlignment w:val="baseline"/>
        <w:rPr>
          <w:rFonts w:ascii="Myriad Pro" w:hAnsi="Myriad Pro" w:cs="Arial"/>
          <w:color w:val="606569"/>
        </w:rPr>
      </w:pPr>
      <w:r w:rsidRPr="002035E2">
        <w:rPr>
          <w:rFonts w:ascii="Myriad Pro" w:hAnsi="Myriad Pro" w:cs="Arial"/>
          <w:color w:val="606569"/>
        </w:rPr>
        <w:t> </w:t>
      </w:r>
    </w:p>
    <w:p w14:paraId="573063D8" w14:textId="77777777" w:rsidR="009B21B6" w:rsidRPr="002035E2" w:rsidRDefault="009B21B6" w:rsidP="009B21B6">
      <w:pPr>
        <w:numPr>
          <w:ilvl w:val="0"/>
          <w:numId w:val="16"/>
        </w:numPr>
        <w:shd w:val="clear" w:color="auto" w:fill="FFFFFF"/>
        <w:spacing w:line="362" w:lineRule="atLeast"/>
        <w:ind w:left="630"/>
        <w:textAlignment w:val="baseline"/>
        <w:rPr>
          <w:rFonts w:ascii="Myriad Pro" w:eastAsia="Times New Roman" w:hAnsi="Myriad Pro" w:cs="Arial"/>
          <w:color w:val="606569"/>
        </w:rPr>
      </w:pPr>
      <w:r w:rsidRPr="002035E2">
        <w:rPr>
          <w:rFonts w:ascii="Myriad Pro" w:eastAsia="Times New Roman" w:hAnsi="Myriad Pro" w:cs="Arial"/>
          <w:color w:val="606569"/>
        </w:rPr>
        <w:t>Estimate the amount of funding needed for each main activity to give an idea of what funding resources will be needed.</w:t>
      </w:r>
    </w:p>
    <w:p w14:paraId="76732843" w14:textId="77777777" w:rsidR="009B21B6" w:rsidRPr="002035E2" w:rsidRDefault="009B21B6" w:rsidP="009B21B6">
      <w:pPr>
        <w:numPr>
          <w:ilvl w:val="0"/>
          <w:numId w:val="16"/>
        </w:numPr>
        <w:shd w:val="clear" w:color="auto" w:fill="FFFFFF"/>
        <w:spacing w:line="362" w:lineRule="atLeast"/>
        <w:ind w:left="630"/>
        <w:textAlignment w:val="baseline"/>
        <w:rPr>
          <w:rFonts w:ascii="Myriad Pro" w:eastAsia="Times New Roman" w:hAnsi="Myriad Pro" w:cs="Arial"/>
          <w:color w:val="606569"/>
        </w:rPr>
      </w:pPr>
      <w:r w:rsidRPr="002035E2">
        <w:rPr>
          <w:rFonts w:ascii="Myriad Pro" w:eastAsia="Times New Roman" w:hAnsi="Myriad Pro" w:cs="Arial"/>
          <w:color w:val="606569"/>
        </w:rPr>
        <w:t>Finalize the budget once your work plan is complete.</w:t>
      </w:r>
    </w:p>
    <w:p w14:paraId="6F3132CE" w14:textId="77777777" w:rsidR="00D61176" w:rsidRPr="002035E2" w:rsidRDefault="00D61176" w:rsidP="00D61176">
      <w:pPr>
        <w:rPr>
          <w:rFonts w:ascii="Myriad Pro" w:eastAsia="Times New Roman" w:hAnsi="Myriad Pro" w:cs="Arial"/>
        </w:rPr>
      </w:pPr>
    </w:p>
    <w:p w14:paraId="5075F615" w14:textId="77777777" w:rsidR="002A6F92" w:rsidRPr="002035E2" w:rsidRDefault="002A6F92">
      <w:pPr>
        <w:rPr>
          <w:rFonts w:ascii="Myriad Pro" w:hAnsi="Myriad Pro" w:cs="Arial"/>
        </w:rPr>
      </w:pPr>
    </w:p>
    <w:sectPr w:rsidR="002A6F92" w:rsidRPr="002035E2" w:rsidSect="00C3122F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86A2D" w14:textId="77777777" w:rsidR="002035E2" w:rsidRDefault="002035E2" w:rsidP="002035E2">
      <w:r>
        <w:separator/>
      </w:r>
    </w:p>
  </w:endnote>
  <w:endnote w:type="continuationSeparator" w:id="0">
    <w:p w14:paraId="4B27039C" w14:textId="77777777" w:rsidR="002035E2" w:rsidRDefault="002035E2" w:rsidP="0020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52962" w14:textId="77777777" w:rsidR="002035E2" w:rsidRDefault="002035E2" w:rsidP="002035E2">
      <w:r>
        <w:separator/>
      </w:r>
    </w:p>
  </w:footnote>
  <w:footnote w:type="continuationSeparator" w:id="0">
    <w:p w14:paraId="494AC013" w14:textId="77777777" w:rsidR="002035E2" w:rsidRDefault="002035E2" w:rsidP="002035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DC23" w14:textId="109B1FF3" w:rsidR="002035E2" w:rsidRDefault="002035E2">
    <w:pPr>
      <w:pStyle w:val="Header"/>
    </w:pPr>
    <w:r w:rsidRPr="009B21B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A2562B4" wp14:editId="7D520CB7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3044190" cy="114300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3logo285px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19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85A"/>
    <w:multiLevelType w:val="multilevel"/>
    <w:tmpl w:val="C728C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90141"/>
    <w:multiLevelType w:val="multilevel"/>
    <w:tmpl w:val="AB067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B500C"/>
    <w:multiLevelType w:val="multilevel"/>
    <w:tmpl w:val="33387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30465"/>
    <w:multiLevelType w:val="multilevel"/>
    <w:tmpl w:val="82E62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F5975"/>
    <w:multiLevelType w:val="multilevel"/>
    <w:tmpl w:val="4E3E2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A4E0D"/>
    <w:multiLevelType w:val="multilevel"/>
    <w:tmpl w:val="FE98D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1552E"/>
    <w:multiLevelType w:val="multilevel"/>
    <w:tmpl w:val="402C3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51DA1"/>
    <w:multiLevelType w:val="multilevel"/>
    <w:tmpl w:val="B8288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55CDB"/>
    <w:multiLevelType w:val="multilevel"/>
    <w:tmpl w:val="03DC4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B11D5"/>
    <w:multiLevelType w:val="multilevel"/>
    <w:tmpl w:val="91DE5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618E2"/>
    <w:multiLevelType w:val="multilevel"/>
    <w:tmpl w:val="82FED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C1CB9"/>
    <w:multiLevelType w:val="multilevel"/>
    <w:tmpl w:val="23FA8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E4AE2"/>
    <w:multiLevelType w:val="multilevel"/>
    <w:tmpl w:val="1796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60069"/>
    <w:multiLevelType w:val="multilevel"/>
    <w:tmpl w:val="C2A4C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225E23"/>
    <w:multiLevelType w:val="multilevel"/>
    <w:tmpl w:val="55E24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17A3C"/>
    <w:multiLevelType w:val="multilevel"/>
    <w:tmpl w:val="397A5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11"/>
  </w:num>
  <w:num w:numId="14">
    <w:abstractNumId w:val="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8B"/>
    <w:rsid w:val="002035E2"/>
    <w:rsid w:val="00256F63"/>
    <w:rsid w:val="002A6F92"/>
    <w:rsid w:val="00573BA5"/>
    <w:rsid w:val="00681B22"/>
    <w:rsid w:val="00773BCB"/>
    <w:rsid w:val="007F4C85"/>
    <w:rsid w:val="00935836"/>
    <w:rsid w:val="009B21B6"/>
    <w:rsid w:val="00B914C2"/>
    <w:rsid w:val="00C05862"/>
    <w:rsid w:val="00C3122F"/>
    <w:rsid w:val="00C410B9"/>
    <w:rsid w:val="00C65C8B"/>
    <w:rsid w:val="00D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796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8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5C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65C8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C3122F"/>
    <w:rPr>
      <w:b/>
      <w:bCs/>
    </w:rPr>
  </w:style>
  <w:style w:type="character" w:customStyle="1" w:styleId="apple-converted-space">
    <w:name w:val="apple-converted-space"/>
    <w:basedOn w:val="DefaultParagraphFont"/>
    <w:rsid w:val="00D61176"/>
  </w:style>
  <w:style w:type="character" w:styleId="Hyperlink">
    <w:name w:val="Hyperlink"/>
    <w:basedOn w:val="DefaultParagraphFont"/>
    <w:uiPriority w:val="99"/>
    <w:semiHidden/>
    <w:unhideWhenUsed/>
    <w:rsid w:val="00D61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1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3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5E2"/>
  </w:style>
  <w:style w:type="paragraph" w:styleId="Footer">
    <w:name w:val="footer"/>
    <w:basedOn w:val="Normal"/>
    <w:link w:val="FooterChar"/>
    <w:uiPriority w:val="99"/>
    <w:unhideWhenUsed/>
    <w:rsid w:val="00203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5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8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5C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65C8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C3122F"/>
    <w:rPr>
      <w:b/>
      <w:bCs/>
    </w:rPr>
  </w:style>
  <w:style w:type="character" w:customStyle="1" w:styleId="apple-converted-space">
    <w:name w:val="apple-converted-space"/>
    <w:basedOn w:val="DefaultParagraphFont"/>
    <w:rsid w:val="00D61176"/>
  </w:style>
  <w:style w:type="character" w:styleId="Hyperlink">
    <w:name w:val="Hyperlink"/>
    <w:basedOn w:val="DefaultParagraphFont"/>
    <w:uiPriority w:val="99"/>
    <w:semiHidden/>
    <w:unhideWhenUsed/>
    <w:rsid w:val="00D61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1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3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5E2"/>
  </w:style>
  <w:style w:type="paragraph" w:styleId="Footer">
    <w:name w:val="footer"/>
    <w:basedOn w:val="Normal"/>
    <w:link w:val="FooterChar"/>
    <w:uiPriority w:val="99"/>
    <w:unhideWhenUsed/>
    <w:rsid w:val="00203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Shaivitz</dc:creator>
  <cp:lastModifiedBy>Kim Martin</cp:lastModifiedBy>
  <cp:revision>2</cp:revision>
  <dcterms:created xsi:type="dcterms:W3CDTF">2015-05-09T18:32:00Z</dcterms:created>
  <dcterms:modified xsi:type="dcterms:W3CDTF">2015-05-09T18:32:00Z</dcterms:modified>
</cp:coreProperties>
</file>